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EB9" w:rsidRDefault="00125EB9" w:rsidP="00883173">
      <w:pPr>
        <w:pStyle w:val="Style1"/>
        <w:tabs>
          <w:tab w:val="left" w:leader="underscore" w:pos="7797"/>
        </w:tabs>
        <w:adjustRightInd/>
        <w:ind w:left="2835"/>
        <w:jc w:val="both"/>
        <w:rPr>
          <w:rStyle w:val="CharacterStyle1"/>
          <w:rFonts w:ascii="Times New Roman" w:hAnsi="Times New Roman" w:cs="Times New Roman"/>
          <w:i/>
          <w:iCs/>
          <w:w w:val="106"/>
          <w:sz w:val="46"/>
          <w:szCs w:val="46"/>
        </w:rPr>
      </w:pPr>
      <w:bookmarkStart w:id="0" w:name="OLE_LINK1"/>
      <w:bookmarkStart w:id="1" w:name="OLE_LINK2"/>
      <w:r w:rsidRPr="006A3903">
        <w:rPr>
          <w:rFonts w:ascii="Tahoma" w:hAnsi="Tahoma" w:cs="Tahoma"/>
          <w:b/>
          <w:bCs/>
          <w:noProof/>
          <w:spacing w:val="-16"/>
          <w:w w:val="61"/>
          <w:sz w:val="36"/>
          <w:szCs w:val="60"/>
        </w:rPr>
        <mc:AlternateContent>
          <mc:Choice Requires="wps">
            <w:drawing>
              <wp:anchor distT="0" distB="0" distL="114300" distR="114300" simplePos="0" relativeHeight="251656704" behindDoc="0" locked="0" layoutInCell="1" allowOverlap="1" wp14:anchorId="4E98003D" wp14:editId="384E12FB">
                <wp:simplePos x="0" y="0"/>
                <wp:positionH relativeFrom="margin">
                  <wp:posOffset>744855</wp:posOffset>
                </wp:positionH>
                <wp:positionV relativeFrom="paragraph">
                  <wp:posOffset>-220980</wp:posOffset>
                </wp:positionV>
                <wp:extent cx="971550" cy="1057275"/>
                <wp:effectExtent l="0" t="0" r="0" b="952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1057275"/>
                        </a:xfrm>
                        <a:prstGeom prst="rect">
                          <a:avLst/>
                        </a:prstGeom>
                        <a:solidFill>
                          <a:schemeClr val="bg1"/>
                        </a:solidFill>
                        <a:ln w="9525">
                          <a:noFill/>
                          <a:miter lim="800000"/>
                          <a:headEnd/>
                          <a:tailEnd/>
                        </a:ln>
                      </wps:spPr>
                      <wps:txbx>
                        <w:txbxContent>
                          <w:p w:rsidR="00B41587" w:rsidRPr="00B41587" w:rsidRDefault="00B41587" w:rsidP="00B41587">
                            <w:pPr>
                              <w:ind w:right="-101"/>
                              <w:rPr>
                                <w:rFonts w:ascii="Arial Black" w:hAnsi="Arial Black"/>
                                <w:color w:val="000000" w:themeColor="text1"/>
                                <w:sz w:val="44"/>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pPr>
                            <w:r w:rsidRPr="00B41587">
                              <w:rPr>
                                <w:rFonts w:ascii="Arial Black" w:hAnsi="Arial Black"/>
                                <w:color w:val="000000" w:themeColor="text1"/>
                                <w:sz w:val="96"/>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98003D" id="_x0000_t202" coordsize="21600,21600" o:spt="202" path="m,l,21600r21600,l21600,xe">
                <v:stroke joinstyle="miter"/>
                <v:path gradientshapeok="t" o:connecttype="rect"/>
              </v:shapetype>
              <v:shape id="Text Box 2" o:spid="_x0000_s1026" type="#_x0000_t202" style="position:absolute;left:0;text-align:left;margin-left:58.65pt;margin-top:-17.4pt;width:76.5pt;height:83.2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" fillcolor="white [3212]" stroked="f">
                <v:textbox>
                  <w:txbxContent>
                    <w:p w:rsidR="00B41587" w:rsidRPr="00B41587" w:rsidRDefault="00B41587" w:rsidP="00B41587">
                      <w:pPr>
                        <w:ind w:right="-101"/>
                        <w:rPr>
                          <w:rFonts w:ascii="Arial Black" w:hAnsi="Arial Black"/>
                          <w:color w:val="000000" w:themeColor="text1"/>
                          <w:sz w:val="44"/>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pPr>
                      <w:r w:rsidRPr="00B41587">
                        <w:rPr>
                          <w:rFonts w:ascii="Arial Black" w:hAnsi="Arial Black"/>
                          <w:color w:val="000000" w:themeColor="text1"/>
                          <w:sz w:val="96"/>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t>10</w:t>
                      </w:r>
                    </w:p>
                  </w:txbxContent>
                </v:textbox>
                <w10:wrap type="square" anchorx="margin"/>
              </v:shape>
            </w:pict>
          </mc:Fallback>
        </mc:AlternateContent>
      </w:r>
      <w:r>
        <w:rPr>
          <w:rFonts w:ascii="Tahoma" w:hAnsi="Tahoma" w:cs="Tahoma"/>
          <w:b/>
          <w:bCs/>
          <w:noProof/>
          <w:spacing w:val="-16"/>
          <w:sz w:val="36"/>
          <w:szCs w:val="60"/>
        </w:rPr>
        <mc:AlternateContent>
          <mc:Choice Requires="wps">
            <w:drawing>
              <wp:anchor distT="0" distB="0" distL="114300" distR="114300" simplePos="0" relativeHeight="251654656" behindDoc="0" locked="0" layoutInCell="1" allowOverlap="1" wp14:anchorId="1236055F" wp14:editId="3D78CBA1">
                <wp:simplePos x="0" y="0"/>
                <wp:positionH relativeFrom="column">
                  <wp:posOffset>-1871980</wp:posOffset>
                </wp:positionH>
                <wp:positionV relativeFrom="paragraph">
                  <wp:posOffset>306705</wp:posOffset>
                </wp:positionV>
                <wp:extent cx="5457825" cy="0"/>
                <wp:effectExtent l="0" t="0" r="28575" b="19050"/>
                <wp:wrapNone/>
                <wp:docPr id="8" name="Straight Connector 8"/>
                <wp:cNvGraphicFramePr/>
                <a:graphic xmlns:a="http://schemas.openxmlformats.org/drawingml/2006/main">
                  <a:graphicData uri="http://schemas.microsoft.com/office/word/2010/wordprocessingShape">
                    <wps:wsp>
                      <wps:cNvCnPr/>
                      <wps:spPr>
                        <a:xfrm>
                          <a:off x="0" y="0"/>
                          <a:ext cx="5457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A1465B" id="Straight Connector 8"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7.4pt,24.15pt" to="282.35pt,2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" strokecolor="black [3213]" strokeweight=".5pt">
                <v:stroke joinstyle="miter"/>
              </v:line>
            </w:pict>
          </mc:Fallback>
        </mc:AlternateContent>
      </w:r>
      <w:r w:rsidRPr="006A3903">
        <w:rPr>
          <w:rFonts w:ascii="Tahoma" w:hAnsi="Tahoma" w:cs="Tahoma"/>
          <w:b/>
          <w:bCs/>
          <w:noProof/>
          <w:spacing w:val="-16"/>
          <w:w w:val="61"/>
          <w:sz w:val="36"/>
          <w:szCs w:val="60"/>
        </w:rPr>
        <mc:AlternateContent>
          <mc:Choice Requires="wps">
            <w:drawing>
              <wp:anchor distT="0" distB="0" distL="114300" distR="114300" simplePos="0" relativeHeight="251644416" behindDoc="0" locked="0" layoutInCell="1" allowOverlap="1" wp14:anchorId="36842C16" wp14:editId="079C2A27">
                <wp:simplePos x="0" y="0"/>
                <wp:positionH relativeFrom="margin">
                  <wp:posOffset>-95250</wp:posOffset>
                </wp:positionH>
                <wp:positionV relativeFrom="paragraph">
                  <wp:posOffset>-8255</wp:posOffset>
                </wp:positionV>
                <wp:extent cx="1078865" cy="436880"/>
                <wp:effectExtent l="0" t="0" r="0" b="1270"/>
                <wp:wrapSquare wrapText="bothSides"/>
                <wp:docPr id="1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8865" cy="436880"/>
                        </a:xfrm>
                        <a:prstGeom prst="rect">
                          <a:avLst/>
                        </a:prstGeom>
                        <a:noFill/>
                        <a:ln w="9525">
                          <a:noFill/>
                          <a:miter lim="800000"/>
                          <a:headEnd/>
                          <a:tailEnd/>
                        </a:ln>
                      </wps:spPr>
                      <wps:txbx>
                        <w:txbxContent>
                          <w:p w:rsidR="006A3903" w:rsidRPr="00125EB9" w:rsidRDefault="00B41587" w:rsidP="006A3903">
                            <w:pPr>
                              <w:ind w:right="-101"/>
                              <w:rPr>
                                <w:rFonts w:ascii="Tahoma" w:hAnsi="Tahoma" w:cs="Tahoma"/>
                                <w:b/>
                                <w:color w:val="000000" w:themeColor="text1"/>
                                <w:sz w:val="22"/>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pPr>
                            <w:r w:rsidRPr="00125EB9">
                              <w:rPr>
                                <w:rFonts w:ascii="Tahoma" w:hAnsi="Tahoma" w:cs="Tahoma"/>
                                <w:b/>
                                <w:color w:val="000000" w:themeColor="text1"/>
                                <w:sz w:val="24"/>
                                <w:szCs w:val="22"/>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t>CHAPTER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842C16" id="_x0000_s1027" type="#_x0000_t202" style="position:absolute;left:0;text-align:left;margin-left:-7.5pt;margin-top:-.65pt;width:84.95pt;height:34.4pt;z-index:251644416;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" filled="f" stroked="f">
                <v:textbox style="mso-fit-shape-to-text:t">
                  <w:txbxContent>
                    <w:p w:rsidR="006A3903" w:rsidRPr="00125EB9" w:rsidRDefault="00B41587" w:rsidP="006A3903">
                      <w:pPr>
                        <w:ind w:right="-101"/>
                        <w:rPr>
                          <w:rFonts w:ascii="Tahoma" w:hAnsi="Tahoma" w:cs="Tahoma"/>
                          <w:b/>
                          <w:color w:val="000000" w:themeColor="text1"/>
                          <w:sz w:val="22"/>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pPr>
                      <w:r w:rsidRPr="00125EB9">
                        <w:rPr>
                          <w:rFonts w:ascii="Tahoma" w:hAnsi="Tahoma" w:cs="Tahoma"/>
                          <w:b/>
                          <w:color w:val="000000" w:themeColor="text1"/>
                          <w:sz w:val="24"/>
                          <w:szCs w:val="22"/>
                          <w:lang w:val="id-ID"/>
                          <w14:shadow w14:blurRad="38100" w14:dist="19050" w14:dir="2700000" w14:sx="100000" w14:sy="100000" w14:kx="0" w14:ky="0" w14:algn="tl">
                            <w14:schemeClr w14:val="tx1">
                              <w14:alpha w14:val="60000"/>
                            </w14:schemeClr>
                          </w14:shadow>
                          <w14:textOutline w14:w="0" w14:cap="flat" w14:cmpd="sng" w14:algn="ctr">
                            <w14:noFill/>
                            <w14:prstDash w14:val="solid"/>
                            <w14:round/>
                          </w14:textOutline>
                        </w:rPr>
                        <w:t>CHAPTER</w:t>
                      </w:r>
                    </w:p>
                  </w:txbxContent>
                </v:textbox>
                <w10:wrap type="square" anchorx="margin"/>
              </v:shape>
            </w:pict>
          </mc:Fallback>
        </mc:AlternateContent>
      </w:r>
    </w:p>
    <w:p w:rsidR="006A3903" w:rsidRDefault="00DD6EAB" w:rsidP="00883173">
      <w:pPr>
        <w:pStyle w:val="Style1"/>
        <w:tabs>
          <w:tab w:val="left" w:leader="underscore" w:pos="7797"/>
        </w:tabs>
        <w:adjustRightInd/>
        <w:spacing w:before="240"/>
        <w:ind w:left="2837"/>
        <w:jc w:val="both"/>
        <w:rPr>
          <w:rStyle w:val="CharacterStyle1"/>
          <w:rFonts w:ascii="Times New Roman" w:hAnsi="Times New Roman" w:cs="Times New Roman"/>
          <w:i/>
          <w:iCs/>
          <w:w w:val="106"/>
          <w:sz w:val="46"/>
          <w:szCs w:val="46"/>
          <w:lang w:val="id-ID"/>
        </w:rPr>
      </w:pPr>
      <w:r>
        <w:rPr>
          <w:rStyle w:val="CharacterStyle1"/>
          <w:rFonts w:ascii="Times New Roman" w:hAnsi="Times New Roman" w:cs="Times New Roman"/>
          <w:i/>
          <w:iCs/>
          <w:w w:val="106"/>
          <w:sz w:val="46"/>
          <w:szCs w:val="46"/>
        </w:rPr>
        <w:t>GREE Case Study:</w:t>
      </w:r>
    </w:p>
    <w:p w:rsidR="009C6C85" w:rsidRDefault="00DD6EAB" w:rsidP="00883173">
      <w:pPr>
        <w:pStyle w:val="Style1"/>
        <w:tabs>
          <w:tab w:val="left" w:leader="underscore" w:pos="7797"/>
        </w:tabs>
        <w:adjustRightInd/>
        <w:ind w:left="2835"/>
        <w:jc w:val="both"/>
        <w:rPr>
          <w:rStyle w:val="CharacterStyle1"/>
          <w:rFonts w:ascii="Times New Roman" w:hAnsi="Times New Roman" w:cs="Times New Roman"/>
          <w:i/>
          <w:iCs/>
          <w:w w:val="106"/>
          <w:sz w:val="46"/>
          <w:szCs w:val="46"/>
        </w:rPr>
      </w:pPr>
      <w:r>
        <w:rPr>
          <w:rStyle w:val="CharacterStyle1"/>
          <w:rFonts w:ascii="Times New Roman" w:hAnsi="Times New Roman" w:cs="Times New Roman"/>
          <w:i/>
          <w:iCs/>
          <w:w w:val="106"/>
          <w:sz w:val="46"/>
          <w:szCs w:val="46"/>
        </w:rPr>
        <w:t>China Goes Abroad Too</w:t>
      </w:r>
    </w:p>
    <w:bookmarkEnd w:id="0"/>
    <w:bookmarkEnd w:id="1"/>
    <w:p w:rsidR="009C6C85" w:rsidRDefault="00DD6EAB" w:rsidP="00883173">
      <w:pPr>
        <w:pStyle w:val="Style8"/>
        <w:tabs>
          <w:tab w:val="left" w:leader="underscore" w:pos="7797"/>
        </w:tabs>
        <w:spacing w:before="324"/>
        <w:ind w:left="2835"/>
        <w:rPr>
          <w:rStyle w:val="CharacterStyle1"/>
          <w:rFonts w:ascii="Times New Roman" w:hAnsi="Times New Roman" w:cs="Times New Roman"/>
          <w:i/>
          <w:iCs/>
          <w:sz w:val="22"/>
          <w:szCs w:val="22"/>
        </w:rPr>
      </w:pPr>
      <w:r>
        <w:rPr>
          <w:rStyle w:val="CharacterStyle1"/>
          <w:rFonts w:ascii="Times New Roman" w:hAnsi="Times New Roman" w:cs="Times New Roman"/>
          <w:i/>
          <w:iCs/>
          <w:sz w:val="22"/>
          <w:szCs w:val="22"/>
        </w:rPr>
        <w:t>An example of</w:t>
      </w:r>
      <w:r w:rsidR="008B7CFB">
        <w:rPr>
          <w:rStyle w:val="CharacterStyle1"/>
          <w:rFonts w:ascii="Times New Roman" w:hAnsi="Times New Roman" w:cs="Times New Roman"/>
          <w:i/>
          <w:iCs/>
          <w:sz w:val="22"/>
          <w:szCs w:val="22"/>
        </w:rPr>
        <w:t xml:space="preserve"> </w:t>
      </w:r>
      <w:r>
        <w:rPr>
          <w:rStyle w:val="CharacterStyle1"/>
          <w:rFonts w:ascii="Times New Roman" w:hAnsi="Times New Roman" w:cs="Times New Roman"/>
          <w:i/>
          <w:iCs/>
          <w:sz w:val="22"/>
          <w:szCs w:val="22"/>
        </w:rPr>
        <w:t>a Chinese company developing a production facility in Brazil in order to reach an important market</w:t>
      </w:r>
    </w:p>
    <w:p w:rsidR="009C6C85" w:rsidRDefault="00DD6EAB" w:rsidP="00883173">
      <w:pPr>
        <w:pStyle w:val="Style8"/>
        <w:tabs>
          <w:tab w:val="left" w:leader="underscore" w:pos="7797"/>
        </w:tabs>
        <w:spacing w:before="504" w:line="321" w:lineRule="auto"/>
        <w:ind w:left="2835"/>
        <w:jc w:val="both"/>
        <w:rPr>
          <w:rStyle w:val="CharacterStyle1"/>
          <w:rFonts w:ascii="Arial" w:hAnsi="Arial" w:cs="Arial"/>
          <w:sz w:val="20"/>
          <w:szCs w:val="20"/>
        </w:rPr>
      </w:pPr>
      <w:r>
        <w:rPr>
          <w:rStyle w:val="CharacterStyle1"/>
          <w:rFonts w:ascii="Arial" w:hAnsi="Arial" w:cs="Arial"/>
          <w:sz w:val="20"/>
          <w:szCs w:val="20"/>
        </w:rPr>
        <w:t>FEI YE, XUEJUN XU, XIANDE ZHAO AND ZHIQIANG WEI</w:t>
      </w:r>
    </w:p>
    <w:p w:rsidR="009C6C85" w:rsidRPr="00125EB9" w:rsidRDefault="00DD6EAB" w:rsidP="00883173">
      <w:pPr>
        <w:pStyle w:val="Style1"/>
        <w:tabs>
          <w:tab w:val="left" w:leader="underscore" w:pos="7797"/>
        </w:tabs>
        <w:adjustRightInd/>
        <w:spacing w:before="480" w:after="240"/>
        <w:rPr>
          <w:rFonts w:ascii="Tahoma" w:hAnsi="Tahoma" w:cs="Tahoma"/>
          <w:sz w:val="28"/>
          <w:szCs w:val="28"/>
        </w:rPr>
      </w:pPr>
      <w:r w:rsidRPr="00125EB9">
        <w:rPr>
          <w:rFonts w:ascii="Tahoma" w:hAnsi="Tahoma" w:cs="Tahoma"/>
          <w:sz w:val="28"/>
          <w:szCs w:val="28"/>
        </w:rPr>
        <w:t>10.1 Theory</w:t>
      </w:r>
    </w:p>
    <w:p w:rsidR="009C6C85" w:rsidRPr="00125EB9" w:rsidRDefault="00DD6EAB" w:rsidP="00883173">
      <w:pPr>
        <w:pStyle w:val="Style1"/>
        <w:tabs>
          <w:tab w:val="left" w:leader="underscore" w:pos="7797"/>
        </w:tabs>
        <w:adjustRightInd/>
        <w:spacing w:before="360" w:after="240"/>
        <w:rPr>
          <w:rFonts w:ascii="Tahoma" w:hAnsi="Tahoma" w:cs="Tahoma"/>
          <w:sz w:val="24"/>
          <w:szCs w:val="24"/>
        </w:rPr>
      </w:pPr>
      <w:r w:rsidRPr="00125EB9">
        <w:rPr>
          <w:rFonts w:ascii="Tahoma" w:hAnsi="Tahoma" w:cs="Tahoma"/>
          <w:sz w:val="24"/>
          <w:szCs w:val="24"/>
        </w:rPr>
        <w:t>10.1.1 THE CHOICE OF ENTRY MODE</w:t>
      </w:r>
    </w:p>
    <w:p w:rsidR="009C6C85" w:rsidRDefault="00DD6EAB" w:rsidP="00883173">
      <w:pPr>
        <w:pStyle w:val="Style1"/>
        <w:tabs>
          <w:tab w:val="left" w:leader="underscore" w:pos="7797"/>
        </w:tabs>
        <w:adjustRightInd/>
        <w:jc w:val="both"/>
        <w:rPr>
          <w:sz w:val="24"/>
          <w:szCs w:val="24"/>
        </w:rPr>
      </w:pPr>
      <w:r w:rsidRPr="00125EB9">
        <w:rPr>
          <w:sz w:val="24"/>
          <w:szCs w:val="24"/>
        </w:rPr>
        <w:t xml:space="preserve">Having decided to enter a foreign market, a multinational corporation (MNC) has to </w:t>
      </w:r>
      <w:r w:rsidRPr="00125EB9">
        <w:rPr>
          <w:spacing w:val="7"/>
          <w:sz w:val="24"/>
          <w:szCs w:val="24"/>
        </w:rPr>
        <w:t xml:space="preserve">determine the appropriate mode for organizing its foreign business activities (Hill, </w:t>
      </w:r>
      <w:r w:rsidRPr="00125EB9">
        <w:rPr>
          <w:sz w:val="24"/>
          <w:szCs w:val="24"/>
        </w:rPr>
        <w:t xml:space="preserve">Hwang and Kim, 1990). Firms entering foreign markets choose different entry modes ranging from licensing and franchising to foreign direct investments (joint ventures, acquisitions, mergers and wholly owned new ventures) (Rasheed, 2005). Foreign market </w:t>
      </w:r>
      <w:r w:rsidRPr="00125EB9">
        <w:rPr>
          <w:spacing w:val="1"/>
          <w:sz w:val="24"/>
          <w:szCs w:val="24"/>
        </w:rPr>
        <w:t xml:space="preserve">entry mode is defined as 'an institutional arrangement that makes possible the entry of </w:t>
      </w:r>
      <w:r w:rsidRPr="00125EB9">
        <w:rPr>
          <w:spacing w:val="2"/>
          <w:sz w:val="24"/>
          <w:szCs w:val="24"/>
        </w:rPr>
        <w:t xml:space="preserve">a company's products, technology, human skills, management, or other resources into </w:t>
      </w:r>
      <w:r w:rsidRPr="00125EB9">
        <w:rPr>
          <w:sz w:val="24"/>
          <w:szCs w:val="24"/>
        </w:rPr>
        <w:t>a foreign country' (Root, 1987). There are several theoretical streams dealing with this choice, such as economic factors analysis, transaction cost analysis, the OLI model and behavioural theory:</w:t>
      </w:r>
    </w:p>
    <w:p w:rsidR="008D5725" w:rsidRPr="00125EB9" w:rsidRDefault="008D5725" w:rsidP="00883173">
      <w:pPr>
        <w:pStyle w:val="Style1"/>
        <w:tabs>
          <w:tab w:val="left" w:leader="underscore" w:pos="7797"/>
        </w:tabs>
        <w:adjustRightInd/>
        <w:jc w:val="both"/>
        <w:rPr>
          <w:sz w:val="24"/>
          <w:szCs w:val="24"/>
        </w:rPr>
      </w:pPr>
    </w:p>
    <w:p w:rsidR="009C6C85" w:rsidRPr="00125EB9" w:rsidRDefault="00DD6EAB" w:rsidP="00883173">
      <w:pPr>
        <w:pStyle w:val="Style1"/>
        <w:numPr>
          <w:ilvl w:val="0"/>
          <w:numId w:val="1"/>
        </w:numPr>
        <w:tabs>
          <w:tab w:val="left" w:leader="underscore" w:pos="7797"/>
        </w:tabs>
        <w:adjustRightInd/>
        <w:jc w:val="both"/>
        <w:rPr>
          <w:sz w:val="24"/>
          <w:szCs w:val="24"/>
        </w:rPr>
      </w:pPr>
      <w:r w:rsidRPr="00125EB9">
        <w:rPr>
          <w:i/>
          <w:iCs/>
          <w:sz w:val="24"/>
          <w:szCs w:val="24"/>
        </w:rPr>
        <w:t xml:space="preserve">Economic factors analysis. </w:t>
      </w:r>
      <w:r w:rsidRPr="00125EB9">
        <w:rPr>
          <w:sz w:val="24"/>
          <w:szCs w:val="24"/>
        </w:rPr>
        <w:t xml:space="preserve">Buckley and Casson (1981) theorized that the entry-mode </w:t>
      </w:r>
      <w:r w:rsidRPr="00125EB9">
        <w:rPr>
          <w:spacing w:val="8"/>
          <w:sz w:val="24"/>
          <w:szCs w:val="24"/>
        </w:rPr>
        <w:t xml:space="preserve">choice depends on the amount of fixed cost and variable cost associated with </w:t>
      </w:r>
      <w:r w:rsidRPr="00125EB9">
        <w:rPr>
          <w:spacing w:val="4"/>
          <w:sz w:val="24"/>
          <w:szCs w:val="24"/>
        </w:rPr>
        <w:t xml:space="preserve">exporting or foreign production. The additional fixed costs involved in increasing </w:t>
      </w:r>
      <w:r w:rsidRPr="00125EB9">
        <w:rPr>
          <w:sz w:val="24"/>
          <w:szCs w:val="24"/>
        </w:rPr>
        <w:t xml:space="preserve">home production to cater for exports are small. However, variable costs, including </w:t>
      </w:r>
      <w:r w:rsidRPr="00125EB9">
        <w:rPr>
          <w:spacing w:val="7"/>
          <w:sz w:val="24"/>
          <w:szCs w:val="24"/>
        </w:rPr>
        <w:t xml:space="preserve">transportation costs and tariffs, will be high. Foreign production, by contrast, </w:t>
      </w:r>
      <w:r w:rsidRPr="00125EB9">
        <w:rPr>
          <w:sz w:val="24"/>
          <w:szCs w:val="24"/>
        </w:rPr>
        <w:t xml:space="preserve">involves much larger fixed costs as it requires the acquisition of new production and distribution assets abroad. Variable costs, however, will be lower than for exporting because transportation and tariff costs are avoided. In these circumstances the most </w:t>
      </w:r>
      <w:r w:rsidRPr="00125EB9">
        <w:rPr>
          <w:spacing w:val="4"/>
          <w:sz w:val="24"/>
          <w:szCs w:val="24"/>
        </w:rPr>
        <w:t xml:space="preserve">profitable mode will be determined by the level of demand. A low level of demand </w:t>
      </w:r>
      <w:r w:rsidRPr="00125EB9">
        <w:rPr>
          <w:spacing w:val="3"/>
          <w:sz w:val="24"/>
          <w:szCs w:val="24"/>
        </w:rPr>
        <w:t xml:space="preserve">will not justify the fixed costs of foreign production, thus exporting will be optimal </w:t>
      </w:r>
      <w:r w:rsidRPr="00125EB9">
        <w:rPr>
          <w:sz w:val="24"/>
          <w:szCs w:val="24"/>
        </w:rPr>
        <w:t xml:space="preserve">for small markets. Larger markets may justify the fixed costs required for foreign </w:t>
      </w:r>
      <w:r w:rsidRPr="00125EB9">
        <w:rPr>
          <w:spacing w:val="-2"/>
          <w:sz w:val="24"/>
          <w:szCs w:val="24"/>
        </w:rPr>
        <w:t xml:space="preserve">production. Buckley and Casson also suggested that firms will change the entry mode </w:t>
      </w:r>
      <w:r w:rsidRPr="00125EB9">
        <w:rPr>
          <w:sz w:val="24"/>
          <w:szCs w:val="24"/>
        </w:rPr>
        <w:t>over time if the foreign market grows. Firms will begin by exporting and switch to licensing and foreign production as market size increases.</w:t>
      </w:r>
    </w:p>
    <w:p w:rsidR="009C6C85" w:rsidRPr="008D5725" w:rsidRDefault="00DD6EAB" w:rsidP="00883173">
      <w:pPr>
        <w:pStyle w:val="Style1"/>
        <w:widowControl/>
        <w:numPr>
          <w:ilvl w:val="0"/>
          <w:numId w:val="1"/>
        </w:numPr>
        <w:tabs>
          <w:tab w:val="left" w:leader="underscore" w:pos="7797"/>
        </w:tabs>
        <w:adjustRightInd/>
        <w:jc w:val="both"/>
        <w:rPr>
          <w:rStyle w:val="CharacterStyle1"/>
          <w:rFonts w:ascii="Times New Roman" w:hAnsi="Times New Roman" w:cs="Times New Roman"/>
          <w:sz w:val="24"/>
          <w:szCs w:val="24"/>
        </w:rPr>
      </w:pPr>
      <w:r w:rsidRPr="008D5725">
        <w:rPr>
          <w:i/>
          <w:iCs/>
          <w:sz w:val="24"/>
          <w:szCs w:val="24"/>
        </w:rPr>
        <w:t xml:space="preserve">Transaction cost analysis (TCA). </w:t>
      </w:r>
      <w:r w:rsidRPr="008D5725">
        <w:rPr>
          <w:sz w:val="24"/>
          <w:szCs w:val="24"/>
        </w:rPr>
        <w:t>The dominant theory used to explain an MNE's entry-mode choice is transaction cost theory, which was proposed by Anderson and Gatignon (1986). The theory is based on transaction cost economics. Under the</w:t>
      </w:r>
      <w:r w:rsidR="00125EB9" w:rsidRPr="008D5725">
        <w:rPr>
          <w:sz w:val="24"/>
          <w:szCs w:val="24"/>
        </w:rPr>
        <w:t xml:space="preserve"> </w:t>
      </w:r>
      <w:r w:rsidRPr="008D5725">
        <w:rPr>
          <w:rStyle w:val="CharacterStyle1"/>
          <w:rFonts w:ascii="Times New Roman" w:hAnsi="Times New Roman" w:cs="Times New Roman"/>
          <w:sz w:val="24"/>
          <w:szCs w:val="24"/>
        </w:rPr>
        <w:lastRenderedPageBreak/>
        <w:t xml:space="preserve">hypothesis that organizational structure and design are determined by minimizing transaction cost, they concluded that MNEs choose a specific mode of market entry which maximizes the long term risk-adjusted efficiency. The choice depends on four constructs that determine the optimal degree of control: transaction-specific asset, external uncertainty, internal uncertainty and free-riding potential. Entry modes are </w:t>
      </w:r>
      <w:r w:rsidRPr="008D5725">
        <w:rPr>
          <w:rStyle w:val="CharacterStyle1"/>
          <w:rFonts w:ascii="Times New Roman" w:hAnsi="Times New Roman" w:cs="Times New Roman"/>
          <w:spacing w:val="-3"/>
          <w:sz w:val="24"/>
          <w:szCs w:val="24"/>
        </w:rPr>
        <w:t xml:space="preserve">assessed by the level of control. Wholly owned ventures, for example, are characterized </w:t>
      </w:r>
      <w:r w:rsidRPr="008D5725">
        <w:rPr>
          <w:rStyle w:val="CharacterStyle1"/>
          <w:rFonts w:ascii="Times New Roman" w:hAnsi="Times New Roman" w:cs="Times New Roman"/>
          <w:spacing w:val="4"/>
          <w:sz w:val="24"/>
          <w:szCs w:val="24"/>
        </w:rPr>
        <w:t xml:space="preserve">by the highest level of control. Brouthers (2002) extended the TCA by considering </w:t>
      </w:r>
      <w:r w:rsidRPr="008D5725">
        <w:rPr>
          <w:rStyle w:val="CharacterStyle1"/>
          <w:rFonts w:ascii="Times New Roman" w:hAnsi="Times New Roman" w:cs="Times New Roman"/>
          <w:sz w:val="24"/>
          <w:szCs w:val="24"/>
        </w:rPr>
        <w:t xml:space="preserve">other institutional and cultural factors. He claimed that institutional factors refer to </w:t>
      </w:r>
      <w:r w:rsidRPr="008D5725">
        <w:rPr>
          <w:rStyle w:val="CharacterStyle1"/>
          <w:rFonts w:ascii="Times New Roman" w:hAnsi="Times New Roman" w:cs="Times New Roman"/>
          <w:spacing w:val="3"/>
          <w:sz w:val="24"/>
          <w:szCs w:val="24"/>
        </w:rPr>
        <w:t xml:space="preserve">the conditions that undermine property rights and increase risks in exchange and </w:t>
      </w:r>
      <w:r w:rsidRPr="008D5725">
        <w:rPr>
          <w:rStyle w:val="CharacterStyle1"/>
          <w:rFonts w:ascii="Times New Roman" w:hAnsi="Times New Roman" w:cs="Times New Roman"/>
          <w:spacing w:val="2"/>
          <w:sz w:val="24"/>
          <w:szCs w:val="24"/>
        </w:rPr>
        <w:t xml:space="preserve">that cultural factors tend to influence managerial costs and uncertainty evaluation </w:t>
      </w:r>
      <w:r w:rsidRPr="008D5725">
        <w:rPr>
          <w:rStyle w:val="CharacterStyle1"/>
          <w:rFonts w:ascii="Times New Roman" w:hAnsi="Times New Roman" w:cs="Times New Roman"/>
          <w:sz w:val="24"/>
          <w:szCs w:val="24"/>
        </w:rPr>
        <w:t>in the target market. Through empirical examination he concluded that firms which make their entry mode choice with this criterion are performing better than those which do not.</w:t>
      </w:r>
    </w:p>
    <w:p w:rsidR="009C6C85" w:rsidRPr="00125EB9" w:rsidRDefault="00DD6EAB" w:rsidP="00883173">
      <w:pPr>
        <w:pStyle w:val="Style2"/>
        <w:numPr>
          <w:ilvl w:val="0"/>
          <w:numId w:val="2"/>
        </w:numPr>
        <w:tabs>
          <w:tab w:val="left" w:leader="underscore" w:pos="7797"/>
        </w:tabs>
        <w:spacing w:line="240" w:lineRule="auto"/>
        <w:rPr>
          <w:rStyle w:val="CharacterStyle1"/>
          <w:rFonts w:ascii="Times New Roman" w:hAnsi="Times New Roman" w:cs="Times New Roman"/>
          <w:sz w:val="24"/>
          <w:szCs w:val="24"/>
        </w:rPr>
      </w:pPr>
      <w:r w:rsidRPr="00125EB9">
        <w:rPr>
          <w:rStyle w:val="CharacterStyle1"/>
          <w:rFonts w:ascii="Times New Roman" w:hAnsi="Times New Roman" w:cs="Times New Roman"/>
          <w:i/>
          <w:iCs/>
          <w:spacing w:val="12"/>
          <w:sz w:val="24"/>
          <w:szCs w:val="24"/>
        </w:rPr>
        <w:t xml:space="preserve">The OLI model. </w:t>
      </w:r>
      <w:r w:rsidRPr="00125EB9">
        <w:rPr>
          <w:rStyle w:val="CharacterStyle1"/>
          <w:rFonts w:ascii="Times New Roman" w:hAnsi="Times New Roman" w:cs="Times New Roman"/>
          <w:spacing w:val="12"/>
          <w:sz w:val="24"/>
          <w:szCs w:val="24"/>
        </w:rPr>
        <w:t xml:space="preserve">The Ownership, Location and Internalization (OLI) theory was </w:t>
      </w:r>
      <w:r w:rsidRPr="00125EB9">
        <w:rPr>
          <w:rStyle w:val="CharacterStyle1"/>
          <w:rFonts w:ascii="Times New Roman" w:hAnsi="Times New Roman" w:cs="Times New Roman"/>
          <w:sz w:val="24"/>
          <w:szCs w:val="24"/>
        </w:rPr>
        <w:t xml:space="preserve">introduced by Dunning (1977). The OLI theory stated that entry mode decisions are </w:t>
      </w:r>
      <w:r w:rsidRPr="00125EB9">
        <w:rPr>
          <w:rStyle w:val="CharacterStyle1"/>
          <w:rFonts w:ascii="Times New Roman" w:hAnsi="Times New Roman" w:cs="Times New Roman"/>
          <w:spacing w:val="-2"/>
          <w:sz w:val="24"/>
          <w:szCs w:val="24"/>
        </w:rPr>
        <w:t xml:space="preserve">determined by the composition of three sets of advantages as perceived by enterprises: </w:t>
      </w:r>
      <w:r w:rsidRPr="00125EB9">
        <w:rPr>
          <w:rStyle w:val="CharacterStyle1"/>
          <w:rFonts w:ascii="Times New Roman" w:hAnsi="Times New Roman" w:cs="Times New Roman"/>
          <w:sz w:val="24"/>
          <w:szCs w:val="24"/>
        </w:rPr>
        <w:t xml:space="preserve">(a) ownership advantages (that is advantages that are specific to the nature and the nationality of the owner), (b) internalization advantages (that is advantages arising </w:t>
      </w:r>
      <w:r w:rsidRPr="00125EB9">
        <w:rPr>
          <w:rStyle w:val="CharacterStyle1"/>
          <w:rFonts w:ascii="Times New Roman" w:hAnsi="Times New Roman" w:cs="Times New Roman"/>
          <w:spacing w:val="7"/>
          <w:sz w:val="24"/>
          <w:szCs w:val="24"/>
        </w:rPr>
        <w:t xml:space="preserve">from transferring ownership advantages across national boundaries within the </w:t>
      </w:r>
      <w:r w:rsidRPr="00125EB9">
        <w:rPr>
          <w:rStyle w:val="CharacterStyle1"/>
          <w:rFonts w:ascii="Times New Roman" w:hAnsi="Times New Roman" w:cs="Times New Roman"/>
          <w:sz w:val="24"/>
          <w:szCs w:val="24"/>
        </w:rPr>
        <w:t xml:space="preserve">own organization), and (c) location advantages (arising from the fact that different </w:t>
      </w:r>
      <w:r w:rsidRPr="00125EB9">
        <w:rPr>
          <w:rStyle w:val="CharacterStyle1"/>
          <w:rFonts w:ascii="Times New Roman" w:hAnsi="Times New Roman" w:cs="Times New Roman"/>
          <w:spacing w:val="-2"/>
          <w:sz w:val="24"/>
          <w:szCs w:val="24"/>
        </w:rPr>
        <w:t xml:space="preserve">locations feature different resources, institutions and regulations affecting the revenue </w:t>
      </w:r>
      <w:r w:rsidRPr="00125EB9">
        <w:rPr>
          <w:rStyle w:val="CharacterStyle1"/>
          <w:rFonts w:ascii="Times New Roman" w:hAnsi="Times New Roman" w:cs="Times New Roman"/>
          <w:sz w:val="24"/>
          <w:szCs w:val="24"/>
        </w:rPr>
        <w:t xml:space="preserve">and the cost of production). The more OLI advantages a firm possesses, the greater the propensity of adopting an entry mode with a high control level such as wholly owned ventures. The model was updated by Dunning who argued that competitive </w:t>
      </w:r>
      <w:r w:rsidRPr="00125EB9">
        <w:rPr>
          <w:rStyle w:val="CharacterStyle1"/>
          <w:rFonts w:ascii="Times New Roman" w:hAnsi="Times New Roman" w:cs="Times New Roman"/>
          <w:spacing w:val="6"/>
          <w:sz w:val="24"/>
          <w:szCs w:val="24"/>
        </w:rPr>
        <w:t xml:space="preserve">advantages, market failure and collaboration, as well as dynamic environments </w:t>
      </w:r>
      <w:r w:rsidRPr="00125EB9">
        <w:rPr>
          <w:rStyle w:val="CharacterStyle1"/>
          <w:rFonts w:ascii="Times New Roman" w:hAnsi="Times New Roman" w:cs="Times New Roman"/>
          <w:sz w:val="24"/>
          <w:szCs w:val="24"/>
        </w:rPr>
        <w:t>should also be integrated into the model when decisions on international production are made (Dunning 1993, 1995, 1998, and 2000). The OLI model was widely applied to explain entry mode decisions.</w:t>
      </w:r>
    </w:p>
    <w:p w:rsidR="009C6C85" w:rsidRPr="008D5725" w:rsidRDefault="00DD6EAB" w:rsidP="00883173">
      <w:pPr>
        <w:pStyle w:val="Style2"/>
        <w:numPr>
          <w:ilvl w:val="0"/>
          <w:numId w:val="2"/>
        </w:numPr>
        <w:tabs>
          <w:tab w:val="left" w:leader="underscore" w:pos="7797"/>
        </w:tabs>
        <w:spacing w:line="240" w:lineRule="auto"/>
        <w:rPr>
          <w:rFonts w:ascii="Times New Roman" w:hAnsi="Times New Roman" w:cs="Times New Roman"/>
          <w:sz w:val="24"/>
          <w:szCs w:val="24"/>
        </w:rPr>
      </w:pPr>
      <w:r w:rsidRPr="008D5725">
        <w:rPr>
          <w:rStyle w:val="CharacterStyle1"/>
          <w:rFonts w:ascii="Times New Roman" w:hAnsi="Times New Roman" w:cs="Times New Roman"/>
          <w:i/>
          <w:iCs/>
          <w:sz w:val="24"/>
          <w:szCs w:val="24"/>
        </w:rPr>
        <w:t xml:space="preserve">Behavioural theory. </w:t>
      </w:r>
      <w:r w:rsidRPr="008D5725">
        <w:rPr>
          <w:rStyle w:val="CharacterStyle1"/>
          <w:rFonts w:ascii="Times New Roman" w:hAnsi="Times New Roman" w:cs="Times New Roman"/>
          <w:sz w:val="24"/>
          <w:szCs w:val="24"/>
        </w:rPr>
        <w:t xml:space="preserve">The Uppsala School (Cavusgil, 1984; Johanson and Vahlne, 1990; </w:t>
      </w:r>
      <w:r w:rsidRPr="008D5725">
        <w:rPr>
          <w:rStyle w:val="CharacterStyle1"/>
          <w:rFonts w:ascii="Times New Roman" w:hAnsi="Times New Roman" w:cs="Times New Roman"/>
          <w:spacing w:val="-1"/>
          <w:sz w:val="24"/>
          <w:szCs w:val="24"/>
        </w:rPr>
        <w:t xml:space="preserve">Johanson and Wiedersheim-Paul, 1975) thought that the entry-mode choice depends </w:t>
      </w:r>
      <w:r w:rsidRPr="008D5725">
        <w:rPr>
          <w:rStyle w:val="CharacterStyle1"/>
          <w:rFonts w:ascii="Times New Roman" w:hAnsi="Times New Roman" w:cs="Times New Roman"/>
          <w:spacing w:val="-2"/>
          <w:sz w:val="24"/>
          <w:szCs w:val="24"/>
        </w:rPr>
        <w:t xml:space="preserve">on the enterprises' experience in international markets. They thought that enterprises </w:t>
      </w:r>
      <w:r w:rsidRPr="008D5725">
        <w:rPr>
          <w:rStyle w:val="CharacterStyle1"/>
          <w:rFonts w:ascii="Times New Roman" w:hAnsi="Times New Roman" w:cs="Times New Roman"/>
          <w:spacing w:val="10"/>
          <w:sz w:val="24"/>
          <w:szCs w:val="24"/>
        </w:rPr>
        <w:t xml:space="preserve">will choose a gradually developed stage to avoid uncertainty and reduce the </w:t>
      </w:r>
      <w:r w:rsidRPr="008D5725">
        <w:rPr>
          <w:rStyle w:val="CharacterStyle1"/>
          <w:rFonts w:ascii="Times New Roman" w:hAnsi="Times New Roman" w:cs="Times New Roman"/>
          <w:spacing w:val="-1"/>
          <w:sz w:val="24"/>
          <w:szCs w:val="24"/>
        </w:rPr>
        <w:t xml:space="preserve">operation risk. The knowledge of market is a very important force to pursue business opportunity and to internationalize, and an important way to reduce the uncertainty. </w:t>
      </w:r>
      <w:r w:rsidRPr="008D5725">
        <w:rPr>
          <w:rStyle w:val="CharacterStyle1"/>
          <w:rFonts w:ascii="Times New Roman" w:hAnsi="Times New Roman" w:cs="Times New Roman"/>
          <w:sz w:val="24"/>
          <w:szCs w:val="24"/>
        </w:rPr>
        <w:t xml:space="preserve">This model posits that internationalization occurs in stages, starting with irregular export activity. Businesses move from irregular exporting, through exporting via an independent agent, the use of a sales subsidiary to, eventually, full production in foreign markets. Progression through the stages is driven by experiential knowledge accumulation. Each stage calls for more commitment to international markets but </w:t>
      </w:r>
      <w:r w:rsidRPr="008D5725">
        <w:rPr>
          <w:rStyle w:val="CharacterStyle1"/>
          <w:rFonts w:ascii="Times New Roman" w:hAnsi="Times New Roman" w:cs="Times New Roman"/>
          <w:spacing w:val="-1"/>
          <w:sz w:val="24"/>
          <w:szCs w:val="24"/>
        </w:rPr>
        <w:t xml:space="preserve">enables firms to gain knowledge, skill and confidence in foreign markets. Because the </w:t>
      </w:r>
      <w:r w:rsidRPr="008D5725">
        <w:rPr>
          <w:rStyle w:val="CharacterStyle1"/>
          <w:rFonts w:ascii="Times New Roman" w:hAnsi="Times New Roman" w:cs="Times New Roman"/>
          <w:sz w:val="24"/>
          <w:szCs w:val="24"/>
        </w:rPr>
        <w:t xml:space="preserve">knowledge relates to the existing mode of operation, firms tend to move gradually, </w:t>
      </w:r>
      <w:r w:rsidRPr="008D5725">
        <w:rPr>
          <w:rStyle w:val="CharacterStyle1"/>
          <w:rFonts w:ascii="Times New Roman" w:hAnsi="Times New Roman" w:cs="Times New Roman"/>
          <w:spacing w:val="3"/>
          <w:sz w:val="24"/>
          <w:szCs w:val="24"/>
        </w:rPr>
        <w:t xml:space="preserve">adopting new modes which make most use of past experience. After an enterprise </w:t>
      </w:r>
      <w:r w:rsidRPr="008D5725">
        <w:rPr>
          <w:rStyle w:val="CharacterStyle1"/>
          <w:rFonts w:ascii="Times New Roman" w:hAnsi="Times New Roman" w:cs="Times New Roman"/>
          <w:sz w:val="24"/>
          <w:szCs w:val="24"/>
        </w:rPr>
        <w:t xml:space="preserve">has decided to invest abroad they still have different choices, for example, they can </w:t>
      </w:r>
      <w:r w:rsidRPr="008D5725">
        <w:rPr>
          <w:rStyle w:val="CharacterStyle1"/>
          <w:rFonts w:ascii="Times New Roman" w:hAnsi="Times New Roman" w:cs="Times New Roman"/>
          <w:spacing w:val="5"/>
          <w:sz w:val="24"/>
          <w:szCs w:val="24"/>
        </w:rPr>
        <w:t xml:space="preserve">choose licensing to a local manufacturer and build a local production facility. In </w:t>
      </w:r>
      <w:r w:rsidRPr="008D5725">
        <w:rPr>
          <w:rStyle w:val="CharacterStyle1"/>
          <w:rFonts w:ascii="Times New Roman" w:hAnsi="Times New Roman" w:cs="Times New Roman"/>
          <w:spacing w:val="3"/>
          <w:sz w:val="24"/>
          <w:szCs w:val="24"/>
        </w:rPr>
        <w:t xml:space="preserve">the last circumstance, they should decide whether to acquire existing premises or </w:t>
      </w:r>
      <w:r w:rsidRPr="008D5725">
        <w:rPr>
          <w:rStyle w:val="CharacterStyle1"/>
          <w:rFonts w:ascii="Times New Roman" w:hAnsi="Times New Roman" w:cs="Times New Roman"/>
          <w:sz w:val="24"/>
          <w:szCs w:val="24"/>
        </w:rPr>
        <w:t>to build a new facility. The behavioural theory approach emphasizes the decision maker's knowledge of particular markets and the perceptions, beliefs, opinions and</w:t>
      </w:r>
      <w:r w:rsidR="008D5725" w:rsidRPr="008D5725">
        <w:rPr>
          <w:rStyle w:val="CharacterStyle1"/>
          <w:rFonts w:ascii="Times New Roman" w:hAnsi="Times New Roman" w:cs="Times New Roman"/>
          <w:sz w:val="24"/>
          <w:szCs w:val="24"/>
        </w:rPr>
        <w:t xml:space="preserve"> </w:t>
      </w:r>
      <w:r w:rsidRPr="008D5725">
        <w:rPr>
          <w:rFonts w:ascii="Times New Roman" w:hAnsi="Times New Roman" w:cs="Times New Roman"/>
          <w:spacing w:val="-1"/>
          <w:sz w:val="24"/>
          <w:szCs w:val="24"/>
        </w:rPr>
        <w:t xml:space="preserve">attitudes born out of this knowledge </w:t>
      </w:r>
      <w:r w:rsidRPr="008D5725">
        <w:rPr>
          <w:rFonts w:ascii="Times New Roman" w:hAnsi="Times New Roman" w:cs="Times New Roman"/>
          <w:spacing w:val="-1"/>
          <w:sz w:val="24"/>
          <w:szCs w:val="24"/>
        </w:rPr>
        <w:lastRenderedPageBreak/>
        <w:t xml:space="preserve">(Erramilli and Rao, 1990). The more familiar the </w:t>
      </w:r>
      <w:r w:rsidRPr="008D5725">
        <w:rPr>
          <w:rFonts w:ascii="Times New Roman" w:hAnsi="Times New Roman" w:cs="Times New Roman"/>
          <w:sz w:val="24"/>
          <w:szCs w:val="24"/>
        </w:rPr>
        <w:t>market, the more likely it is that the firm will rely on its own resources to establish and operate the subsidiary. Firms with knowledge deficiencies, however, may try to acquire knowledge by teaming up with individuals and organizations that possess such knowledge. This means that they will show a greater tendency to license.</w:t>
      </w:r>
    </w:p>
    <w:p w:rsidR="009C6C85" w:rsidRPr="008D5725" w:rsidRDefault="00DD6EAB" w:rsidP="00883173">
      <w:pPr>
        <w:pStyle w:val="Style3"/>
        <w:tabs>
          <w:tab w:val="left" w:leader="underscore" w:pos="7797"/>
        </w:tabs>
        <w:spacing w:before="360" w:after="240" w:line="240" w:lineRule="auto"/>
        <w:rPr>
          <w:rStyle w:val="CharacterStyle1"/>
          <w:rFonts w:ascii="Tahoma" w:hAnsi="Tahoma" w:cs="Tahoma"/>
          <w:sz w:val="24"/>
          <w:szCs w:val="24"/>
        </w:rPr>
      </w:pPr>
      <w:r w:rsidRPr="008D5725">
        <w:rPr>
          <w:rStyle w:val="CharacterStyle1"/>
          <w:rFonts w:ascii="Tahoma" w:hAnsi="Tahoma" w:cs="Tahoma"/>
          <w:sz w:val="24"/>
          <w:szCs w:val="24"/>
        </w:rPr>
        <w:t>10.1.2 LOCATION PATTERNS AND DETERMINANTS</w:t>
      </w:r>
    </w:p>
    <w:p w:rsidR="009C6C85" w:rsidRDefault="00DD6EAB" w:rsidP="00883173">
      <w:pPr>
        <w:pStyle w:val="Style3"/>
        <w:tabs>
          <w:tab w:val="left" w:leader="underscore" w:pos="7797"/>
        </w:tabs>
        <w:spacing w:before="0" w:line="240" w:lineRule="auto"/>
        <w:rPr>
          <w:rStyle w:val="CharacterStyle1"/>
          <w:rFonts w:ascii="Times New Roman" w:hAnsi="Times New Roman" w:cs="Times New Roman"/>
          <w:sz w:val="24"/>
          <w:szCs w:val="24"/>
        </w:rPr>
      </w:pPr>
      <w:r w:rsidRPr="00125EB9">
        <w:rPr>
          <w:rStyle w:val="CharacterStyle1"/>
          <w:rFonts w:ascii="Times New Roman" w:hAnsi="Times New Roman" w:cs="Times New Roman"/>
          <w:spacing w:val="-1"/>
          <w:sz w:val="24"/>
          <w:szCs w:val="24"/>
        </w:rPr>
        <w:t xml:space="preserve">When an enterprise decides to build a new foreign facility, it has to decide where to locate </w:t>
      </w:r>
      <w:r w:rsidRPr="00125EB9">
        <w:rPr>
          <w:rStyle w:val="CharacterStyle1"/>
          <w:rFonts w:ascii="Times New Roman" w:hAnsi="Times New Roman" w:cs="Times New Roman"/>
          <w:sz w:val="24"/>
          <w:szCs w:val="24"/>
        </w:rPr>
        <w:t>it. Vernon (1994) argued that</w:t>
      </w:r>
    </w:p>
    <w:p w:rsidR="008D5725" w:rsidRPr="00125EB9" w:rsidRDefault="008D5725" w:rsidP="00883173">
      <w:pPr>
        <w:pStyle w:val="Style3"/>
        <w:tabs>
          <w:tab w:val="left" w:leader="underscore" w:pos="7797"/>
        </w:tabs>
        <w:spacing w:before="0" w:line="240" w:lineRule="auto"/>
        <w:rPr>
          <w:rStyle w:val="CharacterStyle1"/>
          <w:rFonts w:ascii="Times New Roman" w:hAnsi="Times New Roman" w:cs="Times New Roman"/>
          <w:sz w:val="24"/>
          <w:szCs w:val="24"/>
        </w:rPr>
      </w:pPr>
    </w:p>
    <w:p w:rsidR="009C6C85" w:rsidRDefault="00DD6EAB" w:rsidP="00883173">
      <w:pPr>
        <w:pStyle w:val="Style1"/>
        <w:tabs>
          <w:tab w:val="left" w:leader="underscore" w:pos="7797"/>
        </w:tabs>
        <w:adjustRightInd/>
        <w:ind w:left="216" w:firstLine="72"/>
        <w:jc w:val="both"/>
        <w:rPr>
          <w:i/>
          <w:iCs/>
          <w:sz w:val="24"/>
          <w:szCs w:val="24"/>
        </w:rPr>
      </w:pPr>
      <w:r w:rsidRPr="00125EB9">
        <w:rPr>
          <w:i/>
          <w:iCs/>
          <w:spacing w:val="5"/>
          <w:sz w:val="24"/>
          <w:szCs w:val="24"/>
        </w:rPr>
        <w:t xml:space="preserve">the location of most units of a multinational network, however, is reasonably compatible with </w:t>
      </w:r>
      <w:r w:rsidRPr="00125EB9">
        <w:rPr>
          <w:i/>
          <w:iCs/>
          <w:spacing w:val="4"/>
          <w:sz w:val="24"/>
          <w:szCs w:val="24"/>
        </w:rPr>
        <w:t xml:space="preserve">their functions. Some are located as a result of straight forward least-cost calculations, aimed </w:t>
      </w:r>
      <w:r w:rsidRPr="00125EB9">
        <w:rPr>
          <w:i/>
          <w:iCs/>
          <w:spacing w:val="8"/>
          <w:sz w:val="24"/>
          <w:szCs w:val="24"/>
        </w:rPr>
        <w:t xml:space="preserve">at minimizing the delivered cost of a product or service to a given market, or the cost and </w:t>
      </w:r>
      <w:r w:rsidRPr="00125EB9">
        <w:rPr>
          <w:i/>
          <w:iCs/>
          <w:spacing w:val="7"/>
          <w:sz w:val="24"/>
          <w:szCs w:val="24"/>
        </w:rPr>
        <w:t xml:space="preserve">quality of after-sale service in that market. In other cases, a subsidiary may be established </w:t>
      </w:r>
      <w:r w:rsidRPr="00125EB9">
        <w:rPr>
          <w:i/>
          <w:iCs/>
          <w:spacing w:val="6"/>
          <w:sz w:val="24"/>
          <w:szCs w:val="24"/>
        </w:rPr>
        <w:t xml:space="preserve">in a particular location in order to take advantage of low-cost inputs such as labour or raw </w:t>
      </w:r>
      <w:r w:rsidRPr="00125EB9">
        <w:rPr>
          <w:i/>
          <w:iCs/>
          <w:sz w:val="24"/>
          <w:szCs w:val="24"/>
        </w:rPr>
        <w:t>materials or unique inputs such as technology.</w:t>
      </w:r>
    </w:p>
    <w:p w:rsidR="008D5725" w:rsidRPr="008D5725" w:rsidRDefault="008D5725" w:rsidP="00883173">
      <w:pPr>
        <w:pStyle w:val="Style1"/>
        <w:tabs>
          <w:tab w:val="left" w:leader="underscore" w:pos="7797"/>
        </w:tabs>
        <w:adjustRightInd/>
        <w:ind w:left="216" w:firstLine="72"/>
        <w:jc w:val="both"/>
        <w:rPr>
          <w:i/>
          <w:iCs/>
          <w:sz w:val="14"/>
          <w:szCs w:val="24"/>
        </w:rPr>
      </w:pPr>
    </w:p>
    <w:p w:rsidR="009C6C85" w:rsidRDefault="00DD6EAB" w:rsidP="00883173">
      <w:pPr>
        <w:pStyle w:val="Style3"/>
        <w:tabs>
          <w:tab w:val="left" w:leader="underscore" w:pos="7797"/>
        </w:tabs>
        <w:spacing w:before="0" w:line="240" w:lineRule="auto"/>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Some researchers consider that the location selection can be summarized in four ways: market seeker, resource seeker, production-efficiency seeker and technology or strategic-asset seeker (Dunning, 1998):</w:t>
      </w:r>
    </w:p>
    <w:p w:rsidR="008D5725" w:rsidRPr="008D5725" w:rsidRDefault="008D5725" w:rsidP="00883173">
      <w:pPr>
        <w:pStyle w:val="Style3"/>
        <w:tabs>
          <w:tab w:val="left" w:leader="underscore" w:pos="7797"/>
        </w:tabs>
        <w:spacing w:before="0" w:line="240" w:lineRule="auto"/>
        <w:rPr>
          <w:rStyle w:val="CharacterStyle1"/>
          <w:rFonts w:ascii="Times New Roman" w:hAnsi="Times New Roman" w:cs="Times New Roman"/>
          <w:sz w:val="16"/>
          <w:szCs w:val="24"/>
        </w:rPr>
      </w:pPr>
    </w:p>
    <w:p w:rsidR="009C6C85" w:rsidRPr="00125EB9" w:rsidRDefault="00DD6EAB" w:rsidP="00883173">
      <w:pPr>
        <w:pStyle w:val="Style1"/>
        <w:tabs>
          <w:tab w:val="left" w:leader="underscore" w:pos="7797"/>
        </w:tabs>
        <w:adjustRightInd/>
        <w:ind w:left="288" w:hanging="288"/>
        <w:jc w:val="both"/>
        <w:rPr>
          <w:sz w:val="24"/>
          <w:szCs w:val="24"/>
        </w:rPr>
      </w:pPr>
      <w:r w:rsidRPr="00125EB9">
        <w:rPr>
          <w:spacing w:val="2"/>
          <w:sz w:val="24"/>
          <w:szCs w:val="24"/>
        </w:rPr>
        <w:t xml:space="preserve">• </w:t>
      </w:r>
      <w:r w:rsidRPr="00125EB9">
        <w:rPr>
          <w:i/>
          <w:iCs/>
          <w:spacing w:val="2"/>
          <w:sz w:val="24"/>
          <w:szCs w:val="24"/>
        </w:rPr>
        <w:t xml:space="preserve">Market seeker. </w:t>
      </w:r>
      <w:r w:rsidRPr="00125EB9">
        <w:rPr>
          <w:spacing w:val="2"/>
          <w:sz w:val="24"/>
          <w:szCs w:val="24"/>
        </w:rPr>
        <w:t xml:space="preserve">In virtually all cases, a necessary condition to establish a scale economy </w:t>
      </w:r>
      <w:r w:rsidRPr="00125EB9">
        <w:rPr>
          <w:sz w:val="24"/>
          <w:szCs w:val="24"/>
        </w:rPr>
        <w:t xml:space="preserve">is that the market demand to be served is (or is expected to be) large enough for </w:t>
      </w:r>
      <w:r w:rsidRPr="00125EB9">
        <w:rPr>
          <w:spacing w:val="6"/>
          <w:sz w:val="24"/>
          <w:szCs w:val="24"/>
        </w:rPr>
        <w:t xml:space="preserve">establishing an economic-sized plant. The size and growth of market have been </w:t>
      </w:r>
      <w:r w:rsidRPr="00125EB9">
        <w:rPr>
          <w:spacing w:val="-1"/>
          <w:sz w:val="24"/>
          <w:szCs w:val="24"/>
        </w:rPr>
        <w:t xml:space="preserve">found to be an important factor (Terpstra and Yu, 1988). Consequently, governments </w:t>
      </w:r>
      <w:r w:rsidRPr="00125EB9">
        <w:rPr>
          <w:sz w:val="24"/>
          <w:szCs w:val="24"/>
        </w:rPr>
        <w:t>can influence location decisions by altering the demand conditions within their jurisdictions through taxation, industry regulation or the supply of infrastructure (Boddewyn and Brewer, 1994). In such cases, the motivations for market orientation are:</w:t>
      </w:r>
    </w:p>
    <w:p w:rsidR="009C6C85" w:rsidRPr="00125EB9" w:rsidRDefault="00DD6EAB" w:rsidP="00883173">
      <w:pPr>
        <w:pStyle w:val="Style2"/>
        <w:tabs>
          <w:tab w:val="left" w:leader="underscore" w:pos="7797"/>
        </w:tabs>
        <w:spacing w:line="240" w:lineRule="auto"/>
        <w:ind w:left="648"/>
        <w:rPr>
          <w:rStyle w:val="CharacterStyle1"/>
          <w:rFonts w:ascii="Times New Roman" w:hAnsi="Times New Roman" w:cs="Times New Roman"/>
          <w:sz w:val="24"/>
          <w:szCs w:val="24"/>
        </w:rPr>
      </w:pPr>
      <w:r w:rsidRPr="00125EB9">
        <w:rPr>
          <w:rStyle w:val="CharacterStyle1"/>
          <w:rFonts w:ascii="Times New Roman" w:hAnsi="Times New Roman" w:cs="Times New Roman"/>
          <w:spacing w:val="4"/>
          <w:sz w:val="24"/>
          <w:szCs w:val="24"/>
        </w:rPr>
        <w:t xml:space="preserve">— </w:t>
      </w:r>
      <w:r w:rsidRPr="00125EB9">
        <w:rPr>
          <w:rStyle w:val="CharacterStyle1"/>
          <w:rFonts w:ascii="Times New Roman" w:hAnsi="Times New Roman" w:cs="Times New Roman"/>
          <w:i/>
          <w:iCs/>
          <w:spacing w:val="4"/>
          <w:sz w:val="24"/>
          <w:szCs w:val="24"/>
        </w:rPr>
        <w:t xml:space="preserve">Jumping trade barriers. </w:t>
      </w:r>
      <w:r w:rsidRPr="00125EB9">
        <w:rPr>
          <w:rStyle w:val="CharacterStyle1"/>
          <w:rFonts w:ascii="Times New Roman" w:hAnsi="Times New Roman" w:cs="Times New Roman"/>
          <w:spacing w:val="4"/>
          <w:sz w:val="24"/>
          <w:szCs w:val="24"/>
        </w:rPr>
        <w:t xml:space="preserve">Locating a plant in a foreign market is often motivated by </w:t>
      </w:r>
      <w:r w:rsidRPr="00125EB9">
        <w:rPr>
          <w:rStyle w:val="CharacterStyle1"/>
          <w:rFonts w:ascii="Times New Roman" w:hAnsi="Times New Roman" w:cs="Times New Roman"/>
          <w:sz w:val="24"/>
          <w:szCs w:val="24"/>
        </w:rPr>
        <w:t xml:space="preserve">a need to jump trade barriers to get access to the foreign market. For example, </w:t>
      </w:r>
      <w:r w:rsidRPr="00125EB9">
        <w:rPr>
          <w:rStyle w:val="CharacterStyle1"/>
          <w:rFonts w:ascii="Times New Roman" w:hAnsi="Times New Roman" w:cs="Times New Roman"/>
          <w:spacing w:val="-2"/>
          <w:sz w:val="24"/>
          <w:szCs w:val="24"/>
        </w:rPr>
        <w:t xml:space="preserve">Japanese automobile manufacturers in the 1980s substituted local production for </w:t>
      </w:r>
      <w:r w:rsidRPr="00125EB9">
        <w:rPr>
          <w:rStyle w:val="CharacterStyle1"/>
          <w:rFonts w:ascii="Times New Roman" w:hAnsi="Times New Roman" w:cs="Times New Roman"/>
          <w:sz w:val="24"/>
          <w:szCs w:val="24"/>
        </w:rPr>
        <w:t xml:space="preserve">imports in both the US and Europe, because of actual and threatened import quotas. Another example is foreign plants located in the North American Trade Area to meet 'local content' requirements and thereby benefit from reduced trade </w:t>
      </w:r>
      <w:r w:rsidRPr="00125EB9">
        <w:rPr>
          <w:rStyle w:val="CharacterStyle1"/>
          <w:rFonts w:ascii="Times New Roman" w:hAnsi="Times New Roman" w:cs="Times New Roman"/>
          <w:spacing w:val="-2"/>
          <w:sz w:val="24"/>
          <w:szCs w:val="24"/>
        </w:rPr>
        <w:t xml:space="preserve">barriers available within the trade agreement area. It is a standard export contract </w:t>
      </w:r>
      <w:r w:rsidRPr="00125EB9">
        <w:rPr>
          <w:rStyle w:val="CharacterStyle1"/>
          <w:rFonts w:ascii="Times New Roman" w:hAnsi="Times New Roman" w:cs="Times New Roman"/>
          <w:sz w:val="24"/>
          <w:szCs w:val="24"/>
        </w:rPr>
        <w:t>that regulates rights and obligations of the respective parties with regard to the primary sale.</w:t>
      </w:r>
    </w:p>
    <w:p w:rsidR="00DE5088" w:rsidRDefault="00DD6EAB" w:rsidP="00883173">
      <w:pPr>
        <w:pStyle w:val="Style2"/>
        <w:tabs>
          <w:tab w:val="left" w:leader="underscore" w:pos="7797"/>
        </w:tabs>
        <w:spacing w:line="240" w:lineRule="auto"/>
        <w:ind w:left="648"/>
        <w:rPr>
          <w:rStyle w:val="CharacterStyle1"/>
          <w:rFonts w:ascii="Times New Roman" w:hAnsi="Times New Roman" w:cs="Times New Roman"/>
          <w:sz w:val="24"/>
          <w:szCs w:val="24"/>
        </w:rPr>
      </w:pPr>
      <w:r w:rsidRPr="00125EB9">
        <w:rPr>
          <w:rStyle w:val="CharacterStyle1"/>
          <w:rFonts w:ascii="Times New Roman" w:hAnsi="Times New Roman" w:cs="Times New Roman"/>
          <w:spacing w:val="4"/>
          <w:sz w:val="24"/>
          <w:szCs w:val="24"/>
        </w:rPr>
        <w:t xml:space="preserve">— </w:t>
      </w:r>
      <w:r w:rsidRPr="00125EB9">
        <w:rPr>
          <w:rStyle w:val="CharacterStyle1"/>
          <w:rFonts w:ascii="Times New Roman" w:hAnsi="Times New Roman" w:cs="Times New Roman"/>
          <w:i/>
          <w:iCs/>
          <w:spacing w:val="4"/>
          <w:sz w:val="24"/>
          <w:szCs w:val="24"/>
        </w:rPr>
        <w:t xml:space="preserve">Enhancing cost competitiveness. </w:t>
      </w:r>
      <w:r w:rsidRPr="00125EB9">
        <w:rPr>
          <w:rStyle w:val="CharacterStyle1"/>
          <w:rFonts w:ascii="Times New Roman" w:hAnsi="Times New Roman" w:cs="Times New Roman"/>
          <w:spacing w:val="4"/>
          <w:sz w:val="24"/>
          <w:szCs w:val="24"/>
        </w:rPr>
        <w:t xml:space="preserve">Lower delivered-to-the-customers cost savings can </w:t>
      </w:r>
      <w:r w:rsidRPr="00125EB9">
        <w:rPr>
          <w:rStyle w:val="CharacterStyle1"/>
          <w:rFonts w:ascii="Times New Roman" w:hAnsi="Times New Roman" w:cs="Times New Roman"/>
          <w:sz w:val="24"/>
          <w:szCs w:val="24"/>
        </w:rPr>
        <w:t xml:space="preserve">be achieved by locating in the market area, especially when transport costs are a </w:t>
      </w:r>
      <w:r w:rsidRPr="00125EB9">
        <w:rPr>
          <w:rStyle w:val="CharacterStyle1"/>
          <w:rFonts w:ascii="Times New Roman" w:hAnsi="Times New Roman" w:cs="Times New Roman"/>
          <w:spacing w:val="-2"/>
          <w:sz w:val="24"/>
          <w:szCs w:val="24"/>
        </w:rPr>
        <w:t xml:space="preserve">significant component in the delivered-to-the-customers cost structure. Transport </w:t>
      </w:r>
      <w:r w:rsidRPr="00125EB9">
        <w:rPr>
          <w:rStyle w:val="CharacterStyle1"/>
          <w:rFonts w:ascii="Times New Roman" w:hAnsi="Times New Roman" w:cs="Times New Roman"/>
          <w:sz w:val="24"/>
          <w:szCs w:val="24"/>
        </w:rPr>
        <w:t xml:space="preserve">rates are usually based on both bulk and value of the transported product. This </w:t>
      </w:r>
      <w:r w:rsidRPr="00125EB9">
        <w:rPr>
          <w:rStyle w:val="CharacterStyle1"/>
          <w:rFonts w:ascii="Times New Roman" w:hAnsi="Times New Roman" w:cs="Times New Roman"/>
          <w:spacing w:val="-1"/>
          <w:sz w:val="24"/>
          <w:szCs w:val="24"/>
        </w:rPr>
        <w:t xml:space="preserve">means that transport costs for finished product are generally greater than for the </w:t>
      </w:r>
      <w:r w:rsidRPr="00125EB9">
        <w:rPr>
          <w:rStyle w:val="CharacterStyle1"/>
          <w:rFonts w:ascii="Times New Roman" w:hAnsi="Times New Roman" w:cs="Times New Roman"/>
          <w:sz w:val="24"/>
          <w:szCs w:val="24"/>
        </w:rPr>
        <w:t>equivalent components. Also, tariffs are often lower on components than on finished products (Haigh, 1989). Still another possibility for saving on transport costs is to purchase inputs from local suppliers (Eden, 1994).</w:t>
      </w:r>
    </w:p>
    <w:p w:rsidR="009C6C85" w:rsidRPr="00125EB9" w:rsidRDefault="00DD6EAB" w:rsidP="00883173">
      <w:pPr>
        <w:pStyle w:val="Style2"/>
        <w:tabs>
          <w:tab w:val="left" w:leader="underscore" w:pos="7797"/>
        </w:tabs>
        <w:spacing w:line="240" w:lineRule="auto"/>
        <w:ind w:left="576"/>
        <w:rPr>
          <w:rStyle w:val="CharacterStyle1"/>
          <w:rFonts w:ascii="Times New Roman" w:hAnsi="Times New Roman" w:cs="Times New Roman"/>
          <w:sz w:val="24"/>
          <w:szCs w:val="24"/>
        </w:rPr>
      </w:pPr>
      <w:r w:rsidRPr="00125EB9">
        <w:rPr>
          <w:rStyle w:val="CharacterStyle1"/>
          <w:rFonts w:ascii="Times New Roman" w:hAnsi="Times New Roman" w:cs="Times New Roman"/>
          <w:i/>
          <w:iCs/>
          <w:spacing w:val="-1"/>
          <w:sz w:val="24"/>
          <w:szCs w:val="24"/>
        </w:rPr>
        <w:lastRenderedPageBreak/>
        <w:t xml:space="preserve">— Improved customer service. </w:t>
      </w:r>
      <w:r w:rsidRPr="00125EB9">
        <w:rPr>
          <w:rStyle w:val="CharacterStyle1"/>
          <w:rFonts w:ascii="Times New Roman" w:hAnsi="Times New Roman" w:cs="Times New Roman"/>
          <w:spacing w:val="-1"/>
          <w:sz w:val="24"/>
          <w:szCs w:val="24"/>
        </w:rPr>
        <w:t xml:space="preserve">Having a factory closer to both consumer and industrial </w:t>
      </w:r>
      <w:r w:rsidRPr="00125EB9">
        <w:rPr>
          <w:rStyle w:val="CharacterStyle1"/>
          <w:rFonts w:ascii="Times New Roman" w:hAnsi="Times New Roman" w:cs="Times New Roman"/>
          <w:spacing w:val="3"/>
          <w:sz w:val="24"/>
          <w:szCs w:val="24"/>
        </w:rPr>
        <w:t xml:space="preserve">markets can improve company competitiveness by easily adapting products to </w:t>
      </w:r>
      <w:r w:rsidRPr="00125EB9">
        <w:rPr>
          <w:rStyle w:val="CharacterStyle1"/>
          <w:rFonts w:ascii="Times New Roman" w:hAnsi="Times New Roman" w:cs="Times New Roman"/>
          <w:spacing w:val="-1"/>
          <w:sz w:val="24"/>
          <w:szCs w:val="24"/>
        </w:rPr>
        <w:t xml:space="preserve">the special characteristics of the local market and by providing better service and </w:t>
      </w:r>
      <w:r w:rsidRPr="00125EB9">
        <w:rPr>
          <w:rStyle w:val="CharacterStyle1"/>
          <w:rFonts w:ascii="Times New Roman" w:hAnsi="Times New Roman" w:cs="Times New Roman"/>
          <w:sz w:val="24"/>
          <w:szCs w:val="24"/>
        </w:rPr>
        <w:t>faster delivery.</w:t>
      </w:r>
    </w:p>
    <w:p w:rsidR="009C6C85" w:rsidRPr="00125EB9" w:rsidRDefault="00DD6EAB" w:rsidP="00883173">
      <w:pPr>
        <w:pStyle w:val="Style2"/>
        <w:numPr>
          <w:ilvl w:val="0"/>
          <w:numId w:val="1"/>
        </w:numPr>
        <w:tabs>
          <w:tab w:val="left" w:leader="underscore" w:pos="7797"/>
        </w:tabs>
        <w:spacing w:line="240" w:lineRule="auto"/>
        <w:rPr>
          <w:rStyle w:val="CharacterStyle1"/>
          <w:rFonts w:ascii="Times New Roman" w:hAnsi="Times New Roman" w:cs="Times New Roman"/>
          <w:sz w:val="24"/>
          <w:szCs w:val="24"/>
        </w:rPr>
      </w:pPr>
      <w:r w:rsidRPr="00125EB9">
        <w:rPr>
          <w:rStyle w:val="CharacterStyle1"/>
          <w:rFonts w:ascii="Times New Roman" w:hAnsi="Times New Roman" w:cs="Times New Roman"/>
          <w:i/>
          <w:iCs/>
          <w:spacing w:val="-2"/>
          <w:sz w:val="24"/>
          <w:szCs w:val="24"/>
        </w:rPr>
        <w:t xml:space="preserve">Resource seeker. </w:t>
      </w:r>
      <w:r w:rsidRPr="00125EB9">
        <w:rPr>
          <w:rStyle w:val="CharacterStyle1"/>
          <w:rFonts w:ascii="Times New Roman" w:hAnsi="Times New Roman" w:cs="Times New Roman"/>
          <w:spacing w:val="-2"/>
          <w:sz w:val="24"/>
          <w:szCs w:val="24"/>
        </w:rPr>
        <w:t xml:space="preserve">Access to resources is the dominant factor in selecting the general area in minerals, forestry and agricultural processing industries. As Westney (1994) notes, </w:t>
      </w:r>
      <w:r w:rsidRPr="00125EB9">
        <w:rPr>
          <w:rStyle w:val="CharacterStyle1"/>
          <w:rFonts w:ascii="Times New Roman" w:hAnsi="Times New Roman" w:cs="Times New Roman"/>
          <w:sz w:val="24"/>
          <w:szCs w:val="24"/>
        </w:rPr>
        <w:t xml:space="preserve">`the resource industries have their location logic'. Such industries may have major savings in transport cost by locating near their source of resource inputs because of </w:t>
      </w:r>
      <w:r w:rsidRPr="00125EB9">
        <w:rPr>
          <w:rStyle w:val="CharacterStyle1"/>
          <w:rFonts w:ascii="Times New Roman" w:hAnsi="Times New Roman" w:cs="Times New Roman"/>
          <w:spacing w:val="4"/>
          <w:sz w:val="24"/>
          <w:szCs w:val="24"/>
        </w:rPr>
        <w:t xml:space="preserve">weight loss in processing. A substantial weight loss is also involved in processing other minerals, in producing newsprint from pulpwood, wine from grapes, cheese </w:t>
      </w:r>
      <w:r w:rsidRPr="00125EB9">
        <w:rPr>
          <w:rStyle w:val="CharacterStyle1"/>
          <w:rFonts w:ascii="Times New Roman" w:hAnsi="Times New Roman" w:cs="Times New Roman"/>
          <w:sz w:val="24"/>
          <w:szCs w:val="24"/>
        </w:rPr>
        <w:t>from milk and so on. In sugar beet refining, about one-sixth of the weight of sugar beets is retained in the extracted sugar (Bowersox, 1978). In the case of agricultural products another reason for locating processing plants near the raw materials is the problem of perishable raw material.</w:t>
      </w:r>
    </w:p>
    <w:p w:rsidR="009C6C85" w:rsidRPr="00125EB9" w:rsidRDefault="00DD6EAB" w:rsidP="00883173">
      <w:pPr>
        <w:pStyle w:val="Style2"/>
        <w:numPr>
          <w:ilvl w:val="0"/>
          <w:numId w:val="1"/>
        </w:numPr>
        <w:tabs>
          <w:tab w:val="left" w:leader="underscore" w:pos="7797"/>
        </w:tabs>
        <w:spacing w:line="240" w:lineRule="auto"/>
        <w:rPr>
          <w:rStyle w:val="CharacterStyle1"/>
          <w:rFonts w:ascii="Times New Roman" w:hAnsi="Times New Roman" w:cs="Times New Roman"/>
          <w:sz w:val="24"/>
          <w:szCs w:val="24"/>
        </w:rPr>
      </w:pPr>
      <w:r w:rsidRPr="00125EB9">
        <w:rPr>
          <w:rStyle w:val="CharacterStyle1"/>
          <w:rFonts w:ascii="Times New Roman" w:hAnsi="Times New Roman" w:cs="Times New Roman"/>
          <w:i/>
          <w:iCs/>
          <w:spacing w:val="-2"/>
          <w:sz w:val="24"/>
          <w:szCs w:val="24"/>
        </w:rPr>
        <w:t xml:space="preserve">Production-efficiency seeker. </w:t>
      </w:r>
      <w:r w:rsidRPr="00125EB9">
        <w:rPr>
          <w:rStyle w:val="CharacterStyle1"/>
          <w:rFonts w:ascii="Times New Roman" w:hAnsi="Times New Roman" w:cs="Times New Roman"/>
          <w:spacing w:val="-2"/>
          <w:sz w:val="24"/>
          <w:szCs w:val="24"/>
        </w:rPr>
        <w:t xml:space="preserve">The efficiency orientation pattern is also known as a labour force orientation pattern. It can be characterized as follows: (a) transport costs are low </w:t>
      </w:r>
      <w:r w:rsidRPr="00125EB9">
        <w:rPr>
          <w:rStyle w:val="CharacterStyle1"/>
          <w:rFonts w:ascii="Times New Roman" w:hAnsi="Times New Roman" w:cs="Times New Roman"/>
          <w:spacing w:val="-1"/>
          <w:sz w:val="24"/>
          <w:szCs w:val="24"/>
        </w:rPr>
        <w:t xml:space="preserve">as a share of the product's value, and (b) labour costs are relatively high as a share of total costs. Low transport cost means that the product can be delivered inexpensively </w:t>
      </w:r>
      <w:r w:rsidRPr="00125EB9">
        <w:rPr>
          <w:rStyle w:val="CharacterStyle1"/>
          <w:rFonts w:ascii="Times New Roman" w:hAnsi="Times New Roman" w:cs="Times New Roman"/>
          <w:sz w:val="24"/>
          <w:szCs w:val="24"/>
        </w:rPr>
        <w:t xml:space="preserve">to the market or as a component to another affiliated plant for further processing. </w:t>
      </w:r>
      <w:r w:rsidRPr="00125EB9">
        <w:rPr>
          <w:rStyle w:val="CharacterStyle1"/>
          <w:rFonts w:ascii="Times New Roman" w:hAnsi="Times New Roman" w:cs="Times New Roman"/>
          <w:spacing w:val="-2"/>
          <w:sz w:val="24"/>
          <w:szCs w:val="24"/>
        </w:rPr>
        <w:t xml:space="preserve">Where low technology products, or selected stage of processing, can use or easily train </w:t>
      </w:r>
      <w:r w:rsidRPr="00125EB9">
        <w:rPr>
          <w:rStyle w:val="CharacterStyle1"/>
          <w:rFonts w:ascii="Times New Roman" w:hAnsi="Times New Roman" w:cs="Times New Roman"/>
          <w:sz w:val="24"/>
          <w:szCs w:val="24"/>
        </w:rPr>
        <w:t xml:space="preserve">low-skilled workers, a less developed country may be selected as the general area. It should be noted, however, that the criterion is not low wage but low labour </w:t>
      </w:r>
      <w:r w:rsidRPr="00125EB9">
        <w:rPr>
          <w:rStyle w:val="CharacterStyle1"/>
          <w:rFonts w:ascii="Times New Roman" w:hAnsi="Times New Roman" w:cs="Times New Roman"/>
          <w:i/>
          <w:iCs/>
          <w:sz w:val="24"/>
          <w:szCs w:val="24"/>
        </w:rPr>
        <w:t xml:space="preserve">costs </w:t>
      </w:r>
      <w:r w:rsidRPr="00125EB9">
        <w:rPr>
          <w:rStyle w:val="CharacterStyle1"/>
          <w:rFonts w:ascii="Times New Roman" w:hAnsi="Times New Roman" w:cs="Times New Roman"/>
          <w:sz w:val="24"/>
          <w:szCs w:val="24"/>
        </w:rPr>
        <w:t xml:space="preserve">per unit output. In other words, productivity is also an issue. Such products as shoes, apparel and certain electronic components fall into this pattern. Many developing </w:t>
      </w:r>
      <w:r w:rsidRPr="00125EB9">
        <w:rPr>
          <w:rStyle w:val="CharacterStyle1"/>
          <w:rFonts w:ascii="Times New Roman" w:hAnsi="Times New Roman" w:cs="Times New Roman"/>
          <w:spacing w:val="-2"/>
          <w:sz w:val="24"/>
          <w:szCs w:val="24"/>
        </w:rPr>
        <w:t xml:space="preserve">countries set up export-processing zones to attract labour-oriented plants. Mexico, for example, has attracted a large amount of foreign direct investment through its Border </w:t>
      </w:r>
      <w:r w:rsidRPr="00125EB9">
        <w:rPr>
          <w:rStyle w:val="CharacterStyle1"/>
          <w:rFonts w:ascii="Times New Roman" w:hAnsi="Times New Roman" w:cs="Times New Roman"/>
          <w:sz w:val="24"/>
          <w:szCs w:val="24"/>
        </w:rPr>
        <w:t xml:space="preserve">Industry Program, which allows foreign firms to import components duty-free for </w:t>
      </w:r>
      <w:r w:rsidRPr="00125EB9">
        <w:rPr>
          <w:rStyle w:val="CharacterStyle1"/>
          <w:rFonts w:ascii="Times New Roman" w:hAnsi="Times New Roman" w:cs="Times New Roman"/>
          <w:spacing w:val="-1"/>
          <w:sz w:val="24"/>
          <w:szCs w:val="24"/>
        </w:rPr>
        <w:t xml:space="preserve">further processing or assembly, charging export duties only on the value added when </w:t>
      </w:r>
      <w:r w:rsidRPr="00125EB9">
        <w:rPr>
          <w:rStyle w:val="CharacterStyle1"/>
          <w:rFonts w:ascii="Times New Roman" w:hAnsi="Times New Roman" w:cs="Times New Roman"/>
          <w:sz w:val="24"/>
          <w:szCs w:val="24"/>
        </w:rPr>
        <w:t>the finished products are exported.</w:t>
      </w:r>
    </w:p>
    <w:p w:rsidR="009C6C85" w:rsidRDefault="00DD6EAB" w:rsidP="00883173">
      <w:pPr>
        <w:pStyle w:val="Style2"/>
        <w:numPr>
          <w:ilvl w:val="0"/>
          <w:numId w:val="1"/>
        </w:numPr>
        <w:tabs>
          <w:tab w:val="left" w:leader="underscore" w:pos="7797"/>
        </w:tabs>
        <w:spacing w:line="240" w:lineRule="auto"/>
        <w:rPr>
          <w:rStyle w:val="CharacterStyle1"/>
          <w:rFonts w:ascii="Times New Roman" w:hAnsi="Times New Roman" w:cs="Times New Roman"/>
          <w:sz w:val="24"/>
          <w:szCs w:val="24"/>
        </w:rPr>
      </w:pPr>
      <w:r w:rsidRPr="00125EB9">
        <w:rPr>
          <w:rStyle w:val="CharacterStyle1"/>
          <w:rFonts w:ascii="Times New Roman" w:hAnsi="Times New Roman" w:cs="Times New Roman"/>
          <w:i/>
          <w:iCs/>
          <w:spacing w:val="4"/>
          <w:sz w:val="24"/>
          <w:szCs w:val="24"/>
        </w:rPr>
        <w:t xml:space="preserve">Technology or strategic-asset seeker. </w:t>
      </w:r>
      <w:r w:rsidRPr="00125EB9">
        <w:rPr>
          <w:rStyle w:val="CharacterStyle1"/>
          <w:rFonts w:ascii="Times New Roman" w:hAnsi="Times New Roman" w:cs="Times New Roman"/>
          <w:spacing w:val="4"/>
          <w:sz w:val="24"/>
          <w:szCs w:val="24"/>
        </w:rPr>
        <w:t xml:space="preserve">Technology orientation enterprises often follow </w:t>
      </w:r>
      <w:r w:rsidRPr="00125EB9">
        <w:rPr>
          <w:rStyle w:val="CharacterStyle1"/>
          <w:rFonts w:ascii="Times New Roman" w:hAnsi="Times New Roman" w:cs="Times New Roman"/>
          <w:sz w:val="24"/>
          <w:szCs w:val="24"/>
        </w:rPr>
        <w:t xml:space="preserve">these steps: learning, set up research facilities, and then build their own production </w:t>
      </w:r>
      <w:r w:rsidRPr="00125EB9">
        <w:rPr>
          <w:rStyle w:val="CharacterStyle1"/>
          <w:rFonts w:ascii="Times New Roman" w:hAnsi="Times New Roman" w:cs="Times New Roman"/>
          <w:spacing w:val="8"/>
          <w:sz w:val="24"/>
          <w:szCs w:val="24"/>
        </w:rPr>
        <w:t xml:space="preserve">facilities in a foreign area. Herzog and Schlottmann (1991) reported that high </w:t>
      </w:r>
      <w:r w:rsidRPr="00125EB9">
        <w:rPr>
          <w:rStyle w:val="CharacterStyle1"/>
          <w:rFonts w:ascii="Times New Roman" w:hAnsi="Times New Roman" w:cs="Times New Roman"/>
          <w:sz w:val="24"/>
          <w:szCs w:val="24"/>
        </w:rPr>
        <w:t xml:space="preserve">technology firms made their location decision based on their ability to obtain and </w:t>
      </w:r>
      <w:r w:rsidRPr="00125EB9">
        <w:rPr>
          <w:rStyle w:val="CharacterStyle1"/>
          <w:rFonts w:ascii="Times New Roman" w:hAnsi="Times New Roman" w:cs="Times New Roman"/>
          <w:spacing w:val="4"/>
          <w:sz w:val="24"/>
          <w:szCs w:val="24"/>
        </w:rPr>
        <w:t xml:space="preserve">retain individuals with specific technical ability and engineering skills. According </w:t>
      </w:r>
      <w:r w:rsidRPr="00125EB9">
        <w:rPr>
          <w:rStyle w:val="CharacterStyle1"/>
          <w:rFonts w:ascii="Times New Roman" w:hAnsi="Times New Roman" w:cs="Times New Roman"/>
          <w:sz w:val="24"/>
          <w:szCs w:val="24"/>
        </w:rPr>
        <w:t>to Peng and Wang (2000), technology learning explains much of the recent foreign direct investment in the US. As they document, over the 1975-90 period European and Japanese MNEs have concentrated their US foreign direct investments in those industries where the United States are technologically strong.</w:t>
      </w:r>
    </w:p>
    <w:p w:rsidR="008D5725" w:rsidRPr="008D5725" w:rsidRDefault="008D5725" w:rsidP="00883173">
      <w:pPr>
        <w:pStyle w:val="Style2"/>
        <w:tabs>
          <w:tab w:val="left" w:leader="underscore" w:pos="7797"/>
        </w:tabs>
        <w:spacing w:line="240" w:lineRule="auto"/>
        <w:ind w:left="0" w:firstLine="0"/>
        <w:rPr>
          <w:rStyle w:val="CharacterStyle1"/>
          <w:rFonts w:ascii="Times New Roman" w:hAnsi="Times New Roman" w:cs="Times New Roman"/>
          <w:szCs w:val="24"/>
        </w:rPr>
      </w:pPr>
    </w:p>
    <w:p w:rsidR="00DE5088" w:rsidRDefault="00DD6EAB" w:rsidP="00DE5088">
      <w:pPr>
        <w:pStyle w:val="Style1"/>
        <w:tabs>
          <w:tab w:val="left" w:leader="underscore" w:pos="7797"/>
        </w:tabs>
        <w:adjustRightInd/>
        <w:ind w:firstLine="288"/>
        <w:jc w:val="both"/>
        <w:rPr>
          <w:sz w:val="24"/>
          <w:szCs w:val="24"/>
        </w:rPr>
      </w:pPr>
      <w:r w:rsidRPr="00125EB9">
        <w:rPr>
          <w:spacing w:val="-2"/>
          <w:sz w:val="24"/>
          <w:szCs w:val="24"/>
        </w:rPr>
        <w:t xml:space="preserve">Every company may know how its main location is determinant. A company, however, </w:t>
      </w:r>
      <w:r w:rsidRPr="00125EB9">
        <w:rPr>
          <w:sz w:val="24"/>
          <w:szCs w:val="24"/>
        </w:rPr>
        <w:t xml:space="preserve">should take several factors into account. Buckley, Newbould and Thurwell (1988) point out the importance of political stability and low country risk in location choice. Kim and </w:t>
      </w:r>
      <w:r w:rsidRPr="00125EB9">
        <w:rPr>
          <w:spacing w:val="-3"/>
          <w:sz w:val="24"/>
          <w:szCs w:val="24"/>
        </w:rPr>
        <w:t xml:space="preserve">Hwang (1992) emphasize the global strategic focus of MNEs. For example, a subsidiary may </w:t>
      </w:r>
      <w:r w:rsidRPr="00125EB9">
        <w:rPr>
          <w:sz w:val="24"/>
          <w:szCs w:val="24"/>
        </w:rPr>
        <w:t xml:space="preserve">be established to act as a competitive scanning post in an otherwise unprofitable market or to check the cash flow of a potential global competitor. MacCarthy and Watthirawong </w:t>
      </w:r>
      <w:r w:rsidRPr="00125EB9">
        <w:rPr>
          <w:spacing w:val="-1"/>
          <w:sz w:val="24"/>
          <w:szCs w:val="24"/>
        </w:rPr>
        <w:t xml:space="preserve">(2003) identified a comprehensive set of factors that may influence international location </w:t>
      </w:r>
      <w:r w:rsidRPr="00125EB9">
        <w:rPr>
          <w:sz w:val="24"/>
          <w:szCs w:val="24"/>
        </w:rPr>
        <w:t>decisions:</w:t>
      </w:r>
    </w:p>
    <w:p w:rsidR="009C6C85" w:rsidRPr="00125EB9" w:rsidRDefault="00DD6EAB" w:rsidP="00DE5088">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lastRenderedPageBreak/>
        <w:t>costs</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infrastructure</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labour characteristics</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proximity to suppliers</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proximity to markets/customers</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proximity to parent company's facility</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proximity to competition</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quality of life</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legal and regulatory framework</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government and political factors</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economic factors</w:t>
      </w:r>
    </w:p>
    <w:p w:rsidR="009C6C85" w:rsidRPr="00125EB9"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social and cultural factors</w:t>
      </w:r>
    </w:p>
    <w:p w:rsidR="009C6C85" w:rsidRDefault="00DD6EAB" w:rsidP="00883173">
      <w:pPr>
        <w:pStyle w:val="Style6"/>
        <w:numPr>
          <w:ilvl w:val="0"/>
          <w:numId w:val="3"/>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characteristics of a specific location.</w:t>
      </w:r>
    </w:p>
    <w:p w:rsidR="008D5725" w:rsidRPr="00125EB9" w:rsidRDefault="008D5725" w:rsidP="00883173">
      <w:pPr>
        <w:pStyle w:val="Style6"/>
        <w:tabs>
          <w:tab w:val="left" w:leader="underscore" w:pos="7797"/>
        </w:tabs>
        <w:adjustRightInd/>
        <w:rPr>
          <w:rStyle w:val="CharacterStyle1"/>
          <w:rFonts w:ascii="Times New Roman" w:hAnsi="Times New Roman" w:cs="Times New Roman"/>
          <w:sz w:val="24"/>
          <w:szCs w:val="24"/>
        </w:rPr>
      </w:pPr>
    </w:p>
    <w:p w:rsidR="009C6C85" w:rsidRDefault="00DD6EAB" w:rsidP="00883173">
      <w:pPr>
        <w:pStyle w:val="Style1"/>
        <w:tabs>
          <w:tab w:val="left" w:leader="underscore" w:pos="7797"/>
        </w:tabs>
        <w:adjustRightInd/>
        <w:jc w:val="both"/>
        <w:rPr>
          <w:sz w:val="24"/>
          <w:szCs w:val="24"/>
        </w:rPr>
      </w:pPr>
      <w:r w:rsidRPr="00125EB9">
        <w:rPr>
          <w:spacing w:val="-1"/>
          <w:sz w:val="24"/>
          <w:szCs w:val="24"/>
        </w:rPr>
        <w:t xml:space="preserve">Using a Delphi study, they reported the top five major factors that may strongly influence </w:t>
      </w:r>
      <w:r w:rsidRPr="00125EB9">
        <w:rPr>
          <w:spacing w:val="-4"/>
          <w:sz w:val="24"/>
          <w:szCs w:val="24"/>
        </w:rPr>
        <w:t xml:space="preserve">international location decisions generally were: costs, infrastructure, labour characteristics, </w:t>
      </w:r>
      <w:r w:rsidRPr="00125EB9">
        <w:rPr>
          <w:spacing w:val="-1"/>
          <w:sz w:val="24"/>
          <w:szCs w:val="24"/>
        </w:rPr>
        <w:t xml:space="preserve">government and political factors and economic factors. In the United Nations Conference </w:t>
      </w:r>
      <w:r w:rsidRPr="00125EB9">
        <w:rPr>
          <w:spacing w:val="8"/>
          <w:sz w:val="24"/>
          <w:szCs w:val="24"/>
        </w:rPr>
        <w:t xml:space="preserve">on Trade and Development's </w:t>
      </w:r>
      <w:r w:rsidRPr="00125EB9">
        <w:rPr>
          <w:i/>
          <w:iCs/>
          <w:spacing w:val="8"/>
          <w:sz w:val="24"/>
          <w:szCs w:val="24"/>
        </w:rPr>
        <w:t xml:space="preserve">World Investment Report 1998 </w:t>
      </w:r>
      <w:r w:rsidRPr="00125EB9">
        <w:rPr>
          <w:spacing w:val="8"/>
          <w:sz w:val="24"/>
          <w:szCs w:val="24"/>
        </w:rPr>
        <w:t xml:space="preserve">(UNCTAD, 1998), a Delphy </w:t>
      </w:r>
      <w:r w:rsidRPr="00125EB9">
        <w:rPr>
          <w:sz w:val="24"/>
          <w:szCs w:val="24"/>
        </w:rPr>
        <w:t>study provided a multilateral framework to analyze host country determinants of foreign direct investments (FDI) and divided the determinants into three groups:</w:t>
      </w:r>
    </w:p>
    <w:p w:rsidR="008D5725" w:rsidRPr="00125EB9" w:rsidRDefault="008D5725" w:rsidP="00883173">
      <w:pPr>
        <w:pStyle w:val="Style1"/>
        <w:tabs>
          <w:tab w:val="left" w:leader="underscore" w:pos="7797"/>
        </w:tabs>
        <w:adjustRightInd/>
        <w:jc w:val="both"/>
        <w:rPr>
          <w:sz w:val="24"/>
          <w:szCs w:val="24"/>
        </w:rPr>
      </w:pPr>
    </w:p>
    <w:p w:rsidR="009C6C85" w:rsidRPr="00125EB9" w:rsidRDefault="00DD6EAB" w:rsidP="00883173">
      <w:pPr>
        <w:pStyle w:val="Style6"/>
        <w:numPr>
          <w:ilvl w:val="0"/>
          <w:numId w:val="4"/>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policy framework for FDI;</w:t>
      </w:r>
    </w:p>
    <w:p w:rsidR="009C6C85" w:rsidRPr="00125EB9" w:rsidRDefault="00DD6EAB" w:rsidP="00883173">
      <w:pPr>
        <w:pStyle w:val="Style6"/>
        <w:numPr>
          <w:ilvl w:val="0"/>
          <w:numId w:val="4"/>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economic determinants;</w:t>
      </w:r>
    </w:p>
    <w:p w:rsidR="009C6C85" w:rsidRDefault="00DD6EAB" w:rsidP="00883173">
      <w:pPr>
        <w:pStyle w:val="Style6"/>
        <w:numPr>
          <w:ilvl w:val="0"/>
          <w:numId w:val="4"/>
        </w:numPr>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business facilitation.</w:t>
      </w:r>
    </w:p>
    <w:p w:rsidR="008D5725" w:rsidRPr="00125EB9" w:rsidRDefault="008D5725" w:rsidP="00883173">
      <w:pPr>
        <w:pStyle w:val="Style6"/>
        <w:tabs>
          <w:tab w:val="left" w:leader="underscore" w:pos="7797"/>
        </w:tabs>
        <w:adjustRightInd/>
        <w:rPr>
          <w:rStyle w:val="CharacterStyle1"/>
          <w:rFonts w:ascii="Times New Roman" w:hAnsi="Times New Roman" w:cs="Times New Roman"/>
          <w:sz w:val="24"/>
          <w:szCs w:val="24"/>
        </w:rPr>
      </w:pPr>
    </w:p>
    <w:p w:rsidR="009C6C85" w:rsidRPr="00125EB9" w:rsidRDefault="00DD6EAB" w:rsidP="00883173">
      <w:pPr>
        <w:pStyle w:val="Style6"/>
        <w:tabs>
          <w:tab w:val="left" w:leader="underscore" w:pos="7797"/>
        </w:tabs>
        <w:adjustRightInd/>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These determinants are presented in Table 10.1.</w:t>
      </w:r>
    </w:p>
    <w:p w:rsidR="009C6C85" w:rsidRPr="00125EB9" w:rsidRDefault="00DD6EAB" w:rsidP="00883173">
      <w:pPr>
        <w:pStyle w:val="Style6"/>
        <w:tabs>
          <w:tab w:val="left" w:leader="underscore" w:pos="7797"/>
        </w:tabs>
        <w:adjustRightInd/>
        <w:ind w:firstLine="288"/>
        <w:rPr>
          <w:rStyle w:val="CharacterStyle1"/>
          <w:rFonts w:ascii="Times New Roman" w:hAnsi="Times New Roman" w:cs="Times New Roman"/>
          <w:sz w:val="24"/>
          <w:szCs w:val="24"/>
        </w:rPr>
      </w:pPr>
      <w:r w:rsidRPr="00125EB9">
        <w:rPr>
          <w:rStyle w:val="CharacterStyle1"/>
          <w:rFonts w:ascii="Times New Roman" w:hAnsi="Times New Roman" w:cs="Times New Roman"/>
          <w:spacing w:val="-2"/>
          <w:sz w:val="24"/>
          <w:szCs w:val="24"/>
        </w:rPr>
        <w:t xml:space="preserve">There are many host country factors involved in deciding where an FDI project should </w:t>
      </w:r>
      <w:r w:rsidRPr="00125EB9">
        <w:rPr>
          <w:rStyle w:val="CharacterStyle1"/>
          <w:rFonts w:ascii="Times New Roman" w:hAnsi="Times New Roman" w:cs="Times New Roman"/>
          <w:sz w:val="24"/>
          <w:szCs w:val="24"/>
        </w:rPr>
        <w:t>be located and it is often difficult to pinpoint the most decisive factor.</w:t>
      </w:r>
    </w:p>
    <w:p w:rsidR="00DE5088" w:rsidRDefault="00DD6EAB" w:rsidP="00883173">
      <w:pPr>
        <w:pStyle w:val="Style1"/>
        <w:tabs>
          <w:tab w:val="left" w:leader="underscore" w:pos="7797"/>
        </w:tabs>
        <w:adjustRightInd/>
        <w:ind w:firstLine="288"/>
        <w:jc w:val="both"/>
        <w:rPr>
          <w:sz w:val="24"/>
          <w:szCs w:val="24"/>
        </w:rPr>
      </w:pPr>
      <w:r w:rsidRPr="00125EB9">
        <w:rPr>
          <w:spacing w:val="11"/>
          <w:sz w:val="24"/>
          <w:szCs w:val="24"/>
        </w:rPr>
        <w:t xml:space="preserve">FDI policies consist of rules and regulations that are undertaken by foreign </w:t>
      </w:r>
      <w:r w:rsidRPr="00125EB9">
        <w:rPr>
          <w:spacing w:val="8"/>
          <w:sz w:val="24"/>
          <w:szCs w:val="24"/>
        </w:rPr>
        <w:t xml:space="preserve">government aimed at governing the entry and operations of foreign investors, the </w:t>
      </w:r>
      <w:r w:rsidRPr="00125EB9">
        <w:rPr>
          <w:spacing w:val="5"/>
          <w:sz w:val="24"/>
          <w:szCs w:val="24"/>
        </w:rPr>
        <w:t xml:space="preserve">standards of treatment accorded to them, and the functioning of the markets within </w:t>
      </w:r>
      <w:r w:rsidRPr="00125EB9">
        <w:rPr>
          <w:sz w:val="24"/>
          <w:szCs w:val="24"/>
        </w:rPr>
        <w:t>which they operate. These policies can range from outright prohibition of FDI entry to non-discrimination in the treatment of foreign and domestic firms and even preferential treatment for foreign firms.</w:t>
      </w:r>
    </w:p>
    <w:p w:rsidR="009C6C85" w:rsidRPr="00125EB9" w:rsidRDefault="008D5725" w:rsidP="00883173">
      <w:pPr>
        <w:tabs>
          <w:tab w:val="left" w:leader="underscore" w:pos="7797"/>
        </w:tabs>
        <w:adjustRightInd/>
        <w:jc w:val="center"/>
        <w:rPr>
          <w:sz w:val="24"/>
          <w:szCs w:val="24"/>
        </w:rPr>
      </w:pPr>
      <w:r>
        <w:rPr>
          <w:noProof/>
          <w:sz w:val="24"/>
          <w:szCs w:val="24"/>
        </w:rPr>
        <w:lastRenderedPageBreak/>
        <mc:AlternateContent>
          <mc:Choice Requires="wps">
            <w:drawing>
              <wp:anchor distT="0" distB="0" distL="114300" distR="114300" simplePos="0" relativeHeight="251659776" behindDoc="0" locked="0" layoutInCell="1" allowOverlap="1" wp14:anchorId="152E0F9A" wp14:editId="23193780">
                <wp:simplePos x="0" y="0"/>
                <wp:positionH relativeFrom="column">
                  <wp:posOffset>1211580</wp:posOffset>
                </wp:positionH>
                <wp:positionV relativeFrom="paragraph">
                  <wp:posOffset>1417320</wp:posOffset>
                </wp:positionV>
                <wp:extent cx="3108960" cy="0"/>
                <wp:effectExtent l="0" t="0" r="34290" b="19050"/>
                <wp:wrapNone/>
                <wp:docPr id="14" name="Straight Connector 14"/>
                <wp:cNvGraphicFramePr/>
                <a:graphic xmlns:a="http://schemas.openxmlformats.org/drawingml/2006/main">
                  <a:graphicData uri="http://schemas.microsoft.com/office/word/2010/wordprocessingShape">
                    <wps:wsp>
                      <wps:cNvCnPr/>
                      <wps:spPr>
                        <a:xfrm>
                          <a:off x="0" y="0"/>
                          <a:ext cx="310896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DCC87E" id="Straight Connector 14" o:spid="_x0000_s1026" style="position:absolute;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5.4pt,111.6pt" to="340.2pt,1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" strokecolor="black [3213]">
                <v:stroke joinstyle="miter"/>
              </v:line>
            </w:pict>
          </mc:Fallback>
        </mc:AlternateContent>
      </w:r>
      <w:r>
        <w:rPr>
          <w:noProof/>
          <w:sz w:val="24"/>
          <w:szCs w:val="24"/>
        </w:rPr>
        <mc:AlternateContent>
          <mc:Choice Requires="wps">
            <w:drawing>
              <wp:anchor distT="0" distB="0" distL="114300" distR="114300" simplePos="0" relativeHeight="251672064" behindDoc="0" locked="0" layoutInCell="1" allowOverlap="1" wp14:anchorId="26AB051A" wp14:editId="09EF7BC2">
                <wp:simplePos x="0" y="0"/>
                <wp:positionH relativeFrom="column">
                  <wp:posOffset>1211580</wp:posOffset>
                </wp:positionH>
                <wp:positionV relativeFrom="paragraph">
                  <wp:posOffset>1122045</wp:posOffset>
                </wp:positionV>
                <wp:extent cx="3108960" cy="0"/>
                <wp:effectExtent l="0" t="0" r="34290" b="19050"/>
                <wp:wrapNone/>
                <wp:docPr id="13" name="Straight Connector 13"/>
                <wp:cNvGraphicFramePr/>
                <a:graphic xmlns:a="http://schemas.openxmlformats.org/drawingml/2006/main">
                  <a:graphicData uri="http://schemas.microsoft.com/office/word/2010/wordprocessingShape">
                    <wps:wsp>
                      <wps:cNvCnPr/>
                      <wps:spPr>
                        <a:xfrm>
                          <a:off x="0" y="0"/>
                          <a:ext cx="310896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19B56ED" id="Straight Connector 13" o:spid="_x0000_s1026" style="position:absolute;z-index:251672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5.4pt,88.35pt" to="340.2pt,8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" strokecolor="black [3213]">
                <v:stroke joinstyle="miter"/>
              </v:line>
            </w:pict>
          </mc:Fallback>
        </mc:AlternateContent>
      </w:r>
      <w:r>
        <w:rPr>
          <w:noProof/>
          <w:sz w:val="24"/>
          <w:szCs w:val="24"/>
        </w:rPr>
        <mc:AlternateContent>
          <mc:Choice Requires="wps">
            <w:drawing>
              <wp:anchor distT="0" distB="0" distL="114300" distR="114300" simplePos="0" relativeHeight="251665920" behindDoc="0" locked="0" layoutInCell="1" allowOverlap="1" wp14:anchorId="5F73DFA3" wp14:editId="7B575E82">
                <wp:simplePos x="0" y="0"/>
                <wp:positionH relativeFrom="column">
                  <wp:posOffset>278130</wp:posOffset>
                </wp:positionH>
                <wp:positionV relativeFrom="paragraph">
                  <wp:posOffset>826770</wp:posOffset>
                </wp:positionV>
                <wp:extent cx="4962525" cy="0"/>
                <wp:effectExtent l="0" t="0" r="28575" b="19050"/>
                <wp:wrapNone/>
                <wp:docPr id="12" name="Straight Connector 12"/>
                <wp:cNvGraphicFramePr/>
                <a:graphic xmlns:a="http://schemas.openxmlformats.org/drawingml/2006/main">
                  <a:graphicData uri="http://schemas.microsoft.com/office/word/2010/wordprocessingShape">
                    <wps:wsp>
                      <wps:cNvCnPr/>
                      <wps:spPr>
                        <a:xfrm>
                          <a:off x="0" y="0"/>
                          <a:ext cx="496252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1D1C29" id="Straight Connector 12" o:spid="_x0000_s1026" style="position:absolute;z-index:251665920;visibility:visible;mso-wrap-style:square;mso-wrap-distance-left:9pt;mso-wrap-distance-top:0;mso-wrap-distance-right:9pt;mso-wrap-distance-bottom:0;mso-position-horizontal:absolute;mso-position-horizontal-relative:text;mso-position-vertical:absolute;mso-position-vertical-relative:text" from="21.9pt,65.1pt" to="412.65pt,6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" strokecolor="black [3213]" strokeweight="1.5pt">
                <v:stroke joinstyle="miter"/>
              </v:line>
            </w:pict>
          </mc:Fallback>
        </mc:AlternateContent>
      </w:r>
      <w:r>
        <w:rPr>
          <w:noProof/>
          <w:sz w:val="24"/>
          <w:szCs w:val="24"/>
        </w:rPr>
        <mc:AlternateContent>
          <mc:Choice Requires="wps">
            <w:drawing>
              <wp:anchor distT="0" distB="0" distL="114300" distR="114300" simplePos="0" relativeHeight="251662848" behindDoc="0" locked="0" layoutInCell="1" allowOverlap="1">
                <wp:simplePos x="0" y="0"/>
                <wp:positionH relativeFrom="column">
                  <wp:posOffset>297179</wp:posOffset>
                </wp:positionH>
                <wp:positionV relativeFrom="paragraph">
                  <wp:posOffset>388620</wp:posOffset>
                </wp:positionV>
                <wp:extent cx="4962525" cy="0"/>
                <wp:effectExtent l="0" t="0" r="28575" b="19050"/>
                <wp:wrapNone/>
                <wp:docPr id="11" name="Straight Connector 11"/>
                <wp:cNvGraphicFramePr/>
                <a:graphic xmlns:a="http://schemas.openxmlformats.org/drawingml/2006/main">
                  <a:graphicData uri="http://schemas.microsoft.com/office/word/2010/wordprocessingShape">
                    <wps:wsp>
                      <wps:cNvCnPr/>
                      <wps:spPr>
                        <a:xfrm>
                          <a:off x="0" y="0"/>
                          <a:ext cx="496252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C97A52" id="Straight Connector 11" o:spid="_x0000_s1026" style="position:absolute;z-index:251662848;visibility:visible;mso-wrap-style:square;mso-wrap-distance-left:9pt;mso-wrap-distance-top:0;mso-wrap-distance-right:9pt;mso-wrap-distance-bottom:0;mso-position-horizontal:absolute;mso-position-horizontal-relative:text;mso-position-vertical:absolute;mso-position-vertical-relative:text" from="23.4pt,30.6pt" to="414.15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" strokecolor="black [3213]" strokeweight="1.5pt">
                <v:stroke joinstyle="miter"/>
              </v:line>
            </w:pict>
          </mc:Fallback>
        </mc:AlternateContent>
      </w:r>
      <w:r w:rsidR="00D2517D" w:rsidRPr="00125EB9">
        <w:rPr>
          <w:noProof/>
          <w:sz w:val="24"/>
          <w:szCs w:val="24"/>
        </w:rPr>
        <w:drawing>
          <wp:inline distT="0" distB="0" distL="0" distR="0">
            <wp:extent cx="5295900" cy="5838825"/>
            <wp:effectExtent l="0" t="0" r="0" b="9525"/>
            <wp:docPr id="1" name="Picture 1" descr="_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Pic1"/>
                    <pic:cNvPicPr>
                      <a:picLocks noChangeAspect="1" noChangeArrowheads="1"/>
                    </pic:cNvPicPr>
                  </pic:nvPicPr>
                  <pic:blipFill rotWithShape="1">
                    <a:blip r:embed="rId8">
                      <a:extLst>
                        <a:ext uri="{28A0092B-C50C-407E-A947-70E740481C1C}">
                          <a14:useLocalDpi xmlns:a14="http://schemas.microsoft.com/office/drawing/2010/main" val="0"/>
                        </a:ext>
                      </a:extLst>
                    </a:blip>
                    <a:srcRect b="1605"/>
                    <a:stretch/>
                  </pic:blipFill>
                  <pic:spPr bwMode="auto">
                    <a:xfrm>
                      <a:off x="0" y="0"/>
                      <a:ext cx="5295900" cy="5838825"/>
                    </a:xfrm>
                    <a:prstGeom prst="rect">
                      <a:avLst/>
                    </a:prstGeom>
                    <a:noFill/>
                    <a:ln>
                      <a:noFill/>
                    </a:ln>
                    <a:extLst>
                      <a:ext uri="{53640926-AAD7-44D8-BBD7-CCE9431645EC}">
                        <a14:shadowObscured xmlns:a14="http://schemas.microsoft.com/office/drawing/2010/main"/>
                      </a:ext>
                    </a:extLst>
                  </pic:spPr>
                </pic:pic>
              </a:graphicData>
            </a:graphic>
          </wp:inline>
        </w:drawing>
      </w:r>
    </w:p>
    <w:p w:rsidR="00AF3C31" w:rsidRPr="0087220B" w:rsidRDefault="00AF3C31" w:rsidP="00883173">
      <w:pPr>
        <w:pStyle w:val="Style10"/>
        <w:tabs>
          <w:tab w:val="left" w:leader="underscore" w:pos="7797"/>
        </w:tabs>
        <w:spacing w:before="0" w:line="240" w:lineRule="auto"/>
        <w:ind w:left="0" w:right="0"/>
        <w:rPr>
          <w:rStyle w:val="CharacterStyle1"/>
          <w:rFonts w:ascii="Times New Roman" w:hAnsi="Times New Roman" w:cs="Times New Roman"/>
          <w:sz w:val="48"/>
          <w:szCs w:val="24"/>
          <w:lang w:val="id-ID"/>
        </w:rPr>
      </w:pPr>
    </w:p>
    <w:p w:rsidR="008D5725" w:rsidRDefault="00DD6EAB" w:rsidP="00883173">
      <w:pPr>
        <w:pStyle w:val="Style10"/>
        <w:tabs>
          <w:tab w:val="left" w:leader="underscore" w:pos="7797"/>
        </w:tabs>
        <w:spacing w:before="360" w:after="240" w:line="240" w:lineRule="auto"/>
        <w:ind w:left="0" w:right="0"/>
        <w:rPr>
          <w:rFonts w:ascii="Tahoma" w:hAnsi="Tahoma" w:cs="Tahoma"/>
          <w:sz w:val="28"/>
        </w:rPr>
      </w:pPr>
      <w:r w:rsidRPr="008D5725">
        <w:rPr>
          <w:rFonts w:ascii="Tahoma" w:hAnsi="Tahoma" w:cs="Tahoma"/>
          <w:sz w:val="28"/>
        </w:rPr>
        <w:t xml:space="preserve">1 0.2 The Case Study </w:t>
      </w:r>
    </w:p>
    <w:p w:rsidR="009C6C85" w:rsidRPr="008D5725" w:rsidRDefault="00DD6EAB" w:rsidP="00883173">
      <w:pPr>
        <w:pStyle w:val="Style10"/>
        <w:tabs>
          <w:tab w:val="left" w:leader="underscore" w:pos="7797"/>
        </w:tabs>
        <w:spacing w:before="360" w:after="240" w:line="240" w:lineRule="auto"/>
        <w:ind w:left="0" w:right="0"/>
        <w:rPr>
          <w:rFonts w:ascii="Tahoma" w:hAnsi="Tahoma" w:cs="Tahoma"/>
          <w:sz w:val="24"/>
          <w:szCs w:val="24"/>
        </w:rPr>
      </w:pPr>
      <w:r w:rsidRPr="008D5725">
        <w:rPr>
          <w:rFonts w:ascii="Tahoma" w:hAnsi="Tahoma" w:cs="Tahoma"/>
          <w:sz w:val="24"/>
          <w:szCs w:val="24"/>
        </w:rPr>
        <w:t>10.2.1</w:t>
      </w:r>
      <w:r w:rsidRPr="008D5725">
        <w:rPr>
          <w:rStyle w:val="CharacterStyle1"/>
          <w:rFonts w:ascii="Times New Roman" w:hAnsi="Times New Roman" w:cs="Times New Roman"/>
          <w:sz w:val="24"/>
          <w:szCs w:val="24"/>
        </w:rPr>
        <w:t xml:space="preserve"> </w:t>
      </w:r>
      <w:r w:rsidRPr="008D5725">
        <w:rPr>
          <w:rFonts w:ascii="Tahoma" w:hAnsi="Tahoma" w:cs="Tahoma"/>
          <w:sz w:val="24"/>
          <w:szCs w:val="24"/>
        </w:rPr>
        <w:t>COMPANY PROFILE</w:t>
      </w:r>
    </w:p>
    <w:p w:rsidR="009C6C85" w:rsidRPr="00125EB9" w:rsidRDefault="00DD6EAB" w:rsidP="00883173">
      <w:pPr>
        <w:pStyle w:val="Style7"/>
        <w:tabs>
          <w:tab w:val="left" w:leader="underscore" w:pos="7797"/>
        </w:tabs>
        <w:spacing w:line="240" w:lineRule="auto"/>
        <w:ind w:left="0" w:right="0" w:firstLine="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GREE Electric Appliances, Inc. of Zhuhai, established in 1991, is one of the largest specialized air conditioner enterprises in the world. From a small air conditioner factory with an annual production of less than 20,000 units, Gree has now become a famous multinational enterprise with four manufacturing bases in Zhuhai (China), Chongqing (China), </w:t>
      </w:r>
      <w:r w:rsidR="0087220B">
        <w:rPr>
          <w:rStyle w:val="CharacterStyle1"/>
          <w:rFonts w:ascii="Times New Roman" w:hAnsi="Times New Roman" w:cs="Times New Roman"/>
          <w:sz w:val="24"/>
          <w:szCs w:val="24"/>
        </w:rPr>
        <w:t xml:space="preserve"> </w:t>
      </w:r>
      <w:r w:rsidRPr="00125EB9">
        <w:rPr>
          <w:rStyle w:val="CharacterStyle1"/>
          <w:rFonts w:ascii="Times New Roman" w:hAnsi="Times New Roman" w:cs="Times New Roman"/>
          <w:sz w:val="24"/>
          <w:szCs w:val="24"/>
        </w:rPr>
        <w:t xml:space="preserve">Hefei </w:t>
      </w:r>
      <w:r w:rsidR="0087220B">
        <w:rPr>
          <w:rStyle w:val="CharacterStyle1"/>
          <w:rFonts w:ascii="Times New Roman" w:hAnsi="Times New Roman" w:cs="Times New Roman"/>
          <w:sz w:val="24"/>
          <w:szCs w:val="24"/>
        </w:rPr>
        <w:t xml:space="preserve"> </w:t>
      </w:r>
      <w:r w:rsidRPr="00125EB9">
        <w:rPr>
          <w:rStyle w:val="CharacterStyle1"/>
          <w:rFonts w:ascii="Times New Roman" w:hAnsi="Times New Roman" w:cs="Times New Roman"/>
          <w:sz w:val="24"/>
          <w:szCs w:val="24"/>
        </w:rPr>
        <w:t xml:space="preserve">(China) </w:t>
      </w:r>
      <w:r w:rsidR="0087220B">
        <w:rPr>
          <w:rStyle w:val="CharacterStyle1"/>
          <w:rFonts w:ascii="Times New Roman" w:hAnsi="Times New Roman" w:cs="Times New Roman"/>
          <w:sz w:val="24"/>
          <w:szCs w:val="24"/>
        </w:rPr>
        <w:t xml:space="preserve"> </w:t>
      </w:r>
      <w:r w:rsidRPr="00125EB9">
        <w:rPr>
          <w:rStyle w:val="CharacterStyle1"/>
          <w:rFonts w:ascii="Times New Roman" w:hAnsi="Times New Roman" w:cs="Times New Roman"/>
          <w:sz w:val="24"/>
          <w:szCs w:val="24"/>
        </w:rPr>
        <w:t>and Brazil, with a total of nearly 30,000 employees,</w:t>
      </w:r>
      <w:r w:rsidR="0087220B">
        <w:rPr>
          <w:rStyle w:val="CharacterStyle1"/>
          <w:rFonts w:ascii="Times New Roman" w:hAnsi="Times New Roman" w:cs="Times New Roman"/>
          <w:sz w:val="24"/>
          <w:szCs w:val="24"/>
        </w:rPr>
        <w:t xml:space="preserve"> </w:t>
      </w:r>
      <w:r w:rsidRPr="00125EB9">
        <w:rPr>
          <w:rStyle w:val="CharacterStyle1"/>
          <w:rFonts w:ascii="Times New Roman" w:hAnsi="Times New Roman" w:cs="Times New Roman"/>
          <w:sz w:val="24"/>
          <w:szCs w:val="24"/>
        </w:rPr>
        <w:t>an annual</w:t>
      </w:r>
      <w:r w:rsidR="0087220B">
        <w:rPr>
          <w:rStyle w:val="CharacterStyle1"/>
          <w:rFonts w:ascii="Times New Roman" w:hAnsi="Times New Roman" w:cs="Times New Roman"/>
          <w:sz w:val="24"/>
          <w:szCs w:val="24"/>
        </w:rPr>
        <w:br/>
      </w:r>
      <w:r w:rsidRPr="00125EB9">
        <w:rPr>
          <w:rStyle w:val="CharacterStyle1"/>
          <w:rFonts w:ascii="Times New Roman" w:hAnsi="Times New Roman" w:cs="Times New Roman"/>
          <w:spacing w:val="4"/>
          <w:sz w:val="24"/>
          <w:szCs w:val="24"/>
        </w:rPr>
        <w:lastRenderedPageBreak/>
        <w:t xml:space="preserve">production of air conditioners of more than 20 million units, and annual production </w:t>
      </w:r>
      <w:r w:rsidRPr="00125EB9">
        <w:rPr>
          <w:rStyle w:val="CharacterStyle1"/>
          <w:rFonts w:ascii="Times New Roman" w:hAnsi="Times New Roman" w:cs="Times New Roman"/>
          <w:sz w:val="24"/>
          <w:szCs w:val="24"/>
        </w:rPr>
        <w:t xml:space="preserve">value of commercial air conditioners (AC) in Chinese yuan (CNY) of more than 5 billion </w:t>
      </w:r>
      <w:r w:rsidRPr="00125EB9">
        <w:rPr>
          <w:rStyle w:val="CharacterStyle1"/>
          <w:rFonts w:ascii="Times New Roman" w:hAnsi="Times New Roman" w:cs="Times New Roman"/>
          <w:spacing w:val="2"/>
          <w:sz w:val="24"/>
          <w:szCs w:val="24"/>
        </w:rPr>
        <w:t xml:space="preserve">(about US$ 645 million). Since 1995, Gree has had total sales of more than 50 million </w:t>
      </w:r>
      <w:r w:rsidRPr="00125EB9">
        <w:rPr>
          <w:rStyle w:val="CharacterStyle1"/>
          <w:rFonts w:ascii="Times New Roman" w:hAnsi="Times New Roman" w:cs="Times New Roman"/>
          <w:sz w:val="24"/>
          <w:szCs w:val="24"/>
        </w:rPr>
        <w:t>AC units and has earned nearly CNY 100 billion (about US$ 12.9 billion). In 2006, Gree produced more than 13 million units of household AC, and earned CNY 23.803 billion (about US$ 3.06 billion), which made them the global sales leader for two consecutive years.</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lang w:val="id-ID"/>
        </w:rPr>
      </w:pPr>
      <w:r w:rsidRPr="00125EB9">
        <w:rPr>
          <w:rStyle w:val="CharacterStyle1"/>
          <w:rFonts w:ascii="Times New Roman" w:hAnsi="Times New Roman" w:cs="Times New Roman"/>
          <w:spacing w:val="6"/>
          <w:sz w:val="24"/>
          <w:szCs w:val="24"/>
        </w:rPr>
        <w:t xml:space="preserve">In 2007, Gree produced 16 million units, of which 10 million units were sold in </w:t>
      </w:r>
      <w:r w:rsidRPr="00125EB9">
        <w:rPr>
          <w:rStyle w:val="CharacterStyle1"/>
          <w:rFonts w:ascii="Times New Roman" w:hAnsi="Times New Roman" w:cs="Times New Roman"/>
          <w:sz w:val="24"/>
          <w:szCs w:val="24"/>
        </w:rPr>
        <w:t xml:space="preserve">the domestic market: the other six million units were exported. Gree has two different business modes: original equipment manufacturing (OEM) and original brand manufacturing(OBM). One-third of the exports were their OBM products. Gree's foreign </w:t>
      </w:r>
      <w:r w:rsidRPr="00125EB9">
        <w:rPr>
          <w:rStyle w:val="CharacterStyle1"/>
          <w:rFonts w:ascii="Times New Roman" w:hAnsi="Times New Roman" w:cs="Times New Roman"/>
          <w:spacing w:val="-2"/>
          <w:sz w:val="24"/>
          <w:szCs w:val="24"/>
        </w:rPr>
        <w:t>markets are concentrated in America, Europe and the Middle East</w:t>
      </w:r>
      <w:r w:rsidR="0087220B">
        <w:rPr>
          <w:rStyle w:val="CharacterStyle1"/>
          <w:rFonts w:ascii="Times New Roman" w:hAnsi="Times New Roman" w:cs="Times New Roman"/>
          <w:spacing w:val="-2"/>
          <w:sz w:val="24"/>
          <w:szCs w:val="24"/>
        </w:rPr>
        <w:br/>
      </w:r>
      <w:r w:rsidRPr="00125EB9">
        <w:rPr>
          <w:rStyle w:val="CharacterStyle1"/>
          <w:rFonts w:ascii="Times New Roman" w:hAnsi="Times New Roman" w:cs="Times New Roman"/>
          <w:spacing w:val="-2"/>
          <w:sz w:val="24"/>
          <w:szCs w:val="24"/>
        </w:rPr>
        <w:t xml:space="preserve"> each of them captures </w:t>
      </w:r>
      <w:r w:rsidRPr="00125EB9">
        <w:rPr>
          <w:rStyle w:val="CharacterStyle1"/>
          <w:rFonts w:ascii="Times New Roman" w:hAnsi="Times New Roman" w:cs="Times New Roman"/>
          <w:sz w:val="24"/>
          <w:szCs w:val="24"/>
        </w:rPr>
        <w:t>one-third of its total foreign market. Figure 10.1 shows Gree's sales network.</w:t>
      </w:r>
      <w:r w:rsidR="00AF3C31" w:rsidRPr="00125EB9">
        <w:rPr>
          <w:rStyle w:val="CharacterStyle1"/>
          <w:rFonts w:ascii="Times New Roman" w:hAnsi="Times New Roman" w:cs="Times New Roman"/>
          <w:sz w:val="24"/>
          <w:szCs w:val="24"/>
          <w:lang w:val="id-ID"/>
        </w:rPr>
        <w:t xml:space="preserve"> </w:t>
      </w:r>
    </w:p>
    <w:p w:rsidR="00AF3C31" w:rsidRPr="00125EB9" w:rsidRDefault="00AF3C31" w:rsidP="00883173">
      <w:pPr>
        <w:tabs>
          <w:tab w:val="left" w:leader="underscore" w:pos="7797"/>
        </w:tabs>
        <w:adjustRightInd/>
        <w:jc w:val="center"/>
        <w:rPr>
          <w:sz w:val="24"/>
          <w:szCs w:val="24"/>
          <w:lang w:val="id-ID"/>
        </w:rPr>
      </w:pPr>
    </w:p>
    <w:p w:rsidR="00DE5088" w:rsidRDefault="00D2517D" w:rsidP="00883173">
      <w:pPr>
        <w:tabs>
          <w:tab w:val="left" w:leader="underscore" w:pos="7797"/>
        </w:tabs>
        <w:adjustRightInd/>
        <w:jc w:val="center"/>
        <w:rPr>
          <w:sz w:val="24"/>
          <w:szCs w:val="24"/>
        </w:rPr>
      </w:pPr>
      <w:r w:rsidRPr="00125EB9">
        <w:rPr>
          <w:noProof/>
          <w:sz w:val="24"/>
          <w:szCs w:val="24"/>
        </w:rPr>
        <w:drawing>
          <wp:inline distT="0" distB="0" distL="0" distR="0">
            <wp:extent cx="5295900" cy="3819525"/>
            <wp:effectExtent l="0" t="0" r="0" b="9525"/>
            <wp:docPr id="2" name="Picture 2" descr="_Pi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Pic2"/>
                    <pic:cNvPicPr>
                      <a:picLocks noChangeAspect="1" noChangeArrowheads="1"/>
                    </pic:cNvPicPr>
                  </pic:nvPicPr>
                  <pic:blipFill rotWithShape="1">
                    <a:blip r:embed="rId9">
                      <a:extLst>
                        <a:ext uri="{28A0092B-C50C-407E-A947-70E740481C1C}">
                          <a14:useLocalDpi xmlns:a14="http://schemas.microsoft.com/office/drawing/2010/main" val="0"/>
                        </a:ext>
                      </a:extLst>
                    </a:blip>
                    <a:srcRect b="1231"/>
                    <a:stretch/>
                  </pic:blipFill>
                  <pic:spPr bwMode="auto">
                    <a:xfrm>
                      <a:off x="0" y="0"/>
                      <a:ext cx="5295900" cy="3819525"/>
                    </a:xfrm>
                    <a:prstGeom prst="rect">
                      <a:avLst/>
                    </a:prstGeom>
                    <a:noFill/>
                    <a:ln>
                      <a:noFill/>
                    </a:ln>
                    <a:extLst>
                      <a:ext uri="{53640926-AAD7-44D8-BBD7-CCE9431645EC}">
                        <a14:shadowObscured xmlns:a14="http://schemas.microsoft.com/office/drawing/2010/main"/>
                      </a:ext>
                    </a:extLst>
                  </pic:spPr>
                </pic:pic>
              </a:graphicData>
            </a:graphic>
          </wp:inline>
        </w:drawing>
      </w:r>
    </w:p>
    <w:p w:rsidR="009C6C85" w:rsidRDefault="00DD6EAB" w:rsidP="00883173">
      <w:pPr>
        <w:pStyle w:val="Style7"/>
        <w:tabs>
          <w:tab w:val="left" w:leader="underscore" w:pos="7797"/>
        </w:tabs>
        <w:spacing w:line="240" w:lineRule="auto"/>
        <w:ind w:left="0" w:right="0"/>
        <w:jc w:val="left"/>
        <w:rPr>
          <w:rStyle w:val="CharacterStyle1"/>
          <w:rFonts w:ascii="Times New Roman" w:hAnsi="Times New Roman" w:cs="Times New Roman"/>
          <w:sz w:val="24"/>
          <w:szCs w:val="24"/>
        </w:rPr>
      </w:pPr>
      <w:r w:rsidRPr="00125EB9">
        <w:rPr>
          <w:rStyle w:val="CharacterStyle1"/>
          <w:rFonts w:ascii="Times New Roman" w:hAnsi="Times New Roman" w:cs="Times New Roman"/>
          <w:spacing w:val="-4"/>
          <w:sz w:val="24"/>
          <w:szCs w:val="24"/>
        </w:rPr>
        <w:t xml:space="preserve">Figures 10.2 and 10.3 show Gree's annual overseas sales volume and its overseas sales </w:t>
      </w:r>
      <w:r w:rsidRPr="00125EB9">
        <w:rPr>
          <w:rStyle w:val="CharacterStyle1"/>
          <w:rFonts w:ascii="Times New Roman" w:hAnsi="Times New Roman" w:cs="Times New Roman"/>
          <w:sz w:val="24"/>
          <w:szCs w:val="24"/>
        </w:rPr>
        <w:t>percentage from 1999 to 2006.</w:t>
      </w:r>
    </w:p>
    <w:p w:rsidR="0087220B" w:rsidRDefault="0087220B" w:rsidP="00883173">
      <w:pPr>
        <w:pStyle w:val="Style7"/>
        <w:tabs>
          <w:tab w:val="left" w:leader="underscore" w:pos="7797"/>
        </w:tabs>
        <w:spacing w:line="240" w:lineRule="auto"/>
        <w:ind w:left="0" w:right="0"/>
        <w:jc w:val="left"/>
        <w:rPr>
          <w:rStyle w:val="CharacterStyle1"/>
          <w:rFonts w:ascii="Times New Roman" w:hAnsi="Times New Roman" w:cs="Times New Roman"/>
          <w:sz w:val="24"/>
          <w:szCs w:val="24"/>
        </w:rPr>
      </w:pPr>
    </w:p>
    <w:p w:rsidR="0087220B" w:rsidRPr="00125EB9" w:rsidRDefault="0087220B" w:rsidP="00883173">
      <w:pPr>
        <w:pStyle w:val="Style7"/>
        <w:tabs>
          <w:tab w:val="left" w:leader="underscore" w:pos="7797"/>
        </w:tabs>
        <w:spacing w:line="240" w:lineRule="auto"/>
        <w:ind w:left="0" w:right="0"/>
        <w:jc w:val="left"/>
        <w:rPr>
          <w:rStyle w:val="CharacterStyle1"/>
          <w:rFonts w:ascii="Times New Roman" w:hAnsi="Times New Roman" w:cs="Times New Roman"/>
          <w:sz w:val="24"/>
          <w:szCs w:val="24"/>
        </w:rPr>
      </w:pPr>
    </w:p>
    <w:p w:rsidR="009C6C85" w:rsidRDefault="00D2517D" w:rsidP="00883173">
      <w:pPr>
        <w:tabs>
          <w:tab w:val="left" w:leader="underscore" w:pos="7797"/>
        </w:tabs>
        <w:adjustRightInd/>
        <w:jc w:val="center"/>
        <w:rPr>
          <w:sz w:val="24"/>
          <w:szCs w:val="24"/>
        </w:rPr>
      </w:pPr>
      <w:r w:rsidRPr="00125EB9">
        <w:rPr>
          <w:noProof/>
          <w:sz w:val="24"/>
          <w:szCs w:val="24"/>
        </w:rPr>
        <w:lastRenderedPageBreak/>
        <w:drawing>
          <wp:inline distT="0" distB="0" distL="0" distR="0">
            <wp:extent cx="5364985" cy="2428875"/>
            <wp:effectExtent l="0" t="0" r="7620" b="0"/>
            <wp:docPr id="3" name="Picture 3" descr="_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3"/>
                    <pic:cNvPicPr>
                      <a:picLocks noChangeAspect="1" noChangeArrowheads="1"/>
                    </pic:cNvPicPr>
                  </pic:nvPicPr>
                  <pic:blipFill rotWithShape="1">
                    <a:blip r:embed="rId10">
                      <a:extLst>
                        <a:ext uri="{28A0092B-C50C-407E-A947-70E740481C1C}">
                          <a14:useLocalDpi xmlns:a14="http://schemas.microsoft.com/office/drawing/2010/main" val="0"/>
                        </a:ext>
                      </a:extLst>
                    </a:blip>
                    <a:srcRect l="3678" b="3037"/>
                    <a:stretch/>
                  </pic:blipFill>
                  <pic:spPr bwMode="auto">
                    <a:xfrm>
                      <a:off x="0" y="0"/>
                      <a:ext cx="5369653" cy="2430989"/>
                    </a:xfrm>
                    <a:prstGeom prst="rect">
                      <a:avLst/>
                    </a:prstGeom>
                    <a:noFill/>
                    <a:ln>
                      <a:noFill/>
                    </a:ln>
                    <a:extLst>
                      <a:ext uri="{53640926-AAD7-44D8-BBD7-CCE9431645EC}">
                        <a14:shadowObscured xmlns:a14="http://schemas.microsoft.com/office/drawing/2010/main"/>
                      </a:ext>
                    </a:extLst>
                  </pic:spPr>
                </pic:pic>
              </a:graphicData>
            </a:graphic>
          </wp:inline>
        </w:drawing>
      </w:r>
    </w:p>
    <w:p w:rsidR="0087220B" w:rsidRDefault="0087220B" w:rsidP="00883173">
      <w:pPr>
        <w:tabs>
          <w:tab w:val="left" w:leader="underscore" w:pos="7797"/>
        </w:tabs>
        <w:adjustRightInd/>
        <w:jc w:val="center"/>
        <w:rPr>
          <w:sz w:val="24"/>
          <w:szCs w:val="24"/>
        </w:rPr>
      </w:pPr>
    </w:p>
    <w:p w:rsidR="0087220B" w:rsidRDefault="0087220B" w:rsidP="00883173">
      <w:pPr>
        <w:tabs>
          <w:tab w:val="left" w:leader="underscore" w:pos="7797"/>
        </w:tabs>
        <w:adjustRightInd/>
        <w:jc w:val="center"/>
        <w:rPr>
          <w:sz w:val="24"/>
          <w:szCs w:val="24"/>
        </w:rPr>
      </w:pPr>
    </w:p>
    <w:p w:rsidR="0087220B" w:rsidRPr="00125EB9" w:rsidRDefault="0087220B" w:rsidP="00883173">
      <w:pPr>
        <w:tabs>
          <w:tab w:val="left" w:leader="underscore" w:pos="7797"/>
        </w:tabs>
        <w:adjustRightInd/>
        <w:jc w:val="center"/>
        <w:rPr>
          <w:sz w:val="24"/>
          <w:szCs w:val="24"/>
        </w:rPr>
      </w:pPr>
    </w:p>
    <w:p w:rsidR="009C6C85" w:rsidRDefault="00D2517D" w:rsidP="00883173">
      <w:pPr>
        <w:tabs>
          <w:tab w:val="left" w:leader="underscore" w:pos="7797"/>
        </w:tabs>
        <w:adjustRightInd/>
        <w:jc w:val="center"/>
        <w:rPr>
          <w:sz w:val="24"/>
          <w:szCs w:val="24"/>
        </w:rPr>
      </w:pPr>
      <w:r w:rsidRPr="00125EB9">
        <w:rPr>
          <w:noProof/>
          <w:sz w:val="24"/>
          <w:szCs w:val="24"/>
        </w:rPr>
        <w:drawing>
          <wp:inline distT="0" distB="0" distL="0" distR="0">
            <wp:extent cx="5380759" cy="2276475"/>
            <wp:effectExtent l="0" t="0" r="0" b="0"/>
            <wp:docPr id="4" name="Picture 4" descr="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_Pic4"/>
                    <pic:cNvPicPr>
                      <a:picLocks noChangeAspect="1" noChangeArrowheads="1"/>
                    </pic:cNvPicPr>
                  </pic:nvPicPr>
                  <pic:blipFill rotWithShape="1">
                    <a:blip r:embed="rId11">
                      <a:extLst>
                        <a:ext uri="{28A0092B-C50C-407E-A947-70E740481C1C}">
                          <a14:useLocalDpi xmlns:a14="http://schemas.microsoft.com/office/drawing/2010/main" val="0"/>
                        </a:ext>
                      </a:extLst>
                    </a:blip>
                    <a:srcRect l="2325" b="2119"/>
                    <a:stretch/>
                  </pic:blipFill>
                  <pic:spPr bwMode="auto">
                    <a:xfrm>
                      <a:off x="0" y="0"/>
                      <a:ext cx="5383540" cy="2277652"/>
                    </a:xfrm>
                    <a:prstGeom prst="rect">
                      <a:avLst/>
                    </a:prstGeom>
                    <a:noFill/>
                    <a:ln>
                      <a:noFill/>
                    </a:ln>
                    <a:extLst>
                      <a:ext uri="{53640926-AAD7-44D8-BBD7-CCE9431645EC}">
                        <a14:shadowObscured xmlns:a14="http://schemas.microsoft.com/office/drawing/2010/main"/>
                      </a:ext>
                    </a:extLst>
                  </pic:spPr>
                </pic:pic>
              </a:graphicData>
            </a:graphic>
          </wp:inline>
        </w:drawing>
      </w:r>
    </w:p>
    <w:p w:rsidR="0087220B" w:rsidRDefault="0087220B" w:rsidP="00883173">
      <w:pPr>
        <w:tabs>
          <w:tab w:val="left" w:leader="underscore" w:pos="7797"/>
        </w:tabs>
        <w:adjustRightInd/>
        <w:jc w:val="center"/>
        <w:rPr>
          <w:sz w:val="24"/>
          <w:szCs w:val="24"/>
        </w:rPr>
      </w:pPr>
    </w:p>
    <w:p w:rsidR="0087220B" w:rsidRPr="00125EB9" w:rsidRDefault="0087220B" w:rsidP="00883173">
      <w:pPr>
        <w:tabs>
          <w:tab w:val="left" w:leader="underscore" w:pos="7797"/>
        </w:tabs>
        <w:adjustRightInd/>
        <w:jc w:val="center"/>
        <w:rPr>
          <w:sz w:val="24"/>
          <w:szCs w:val="24"/>
        </w:rPr>
      </w:pP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3"/>
          <w:sz w:val="24"/>
          <w:szCs w:val="24"/>
        </w:rPr>
        <w:t xml:space="preserve">In 2000, Gree made the decision to invest US$20 million to establish an AC production </w:t>
      </w:r>
      <w:r w:rsidRPr="00125EB9">
        <w:rPr>
          <w:rStyle w:val="CharacterStyle1"/>
          <w:rFonts w:ascii="Times New Roman" w:hAnsi="Times New Roman" w:cs="Times New Roman"/>
          <w:sz w:val="24"/>
          <w:szCs w:val="24"/>
        </w:rPr>
        <w:t xml:space="preserve">base which could produce 200,000 units each year. The base is located in a free trade port — Manaus in Brazil's Amazon state, a city with around 30 years' trade history. In </w:t>
      </w:r>
      <w:r w:rsidRPr="00125EB9">
        <w:rPr>
          <w:rStyle w:val="CharacterStyle1"/>
          <w:rFonts w:ascii="Times New Roman" w:hAnsi="Times New Roman" w:cs="Times New Roman"/>
          <w:spacing w:val="3"/>
          <w:sz w:val="24"/>
          <w:szCs w:val="24"/>
        </w:rPr>
        <w:t xml:space="preserve">August 2000, Gree signed the investment contract for Gree Brazil Electric Equipment </w:t>
      </w:r>
      <w:r w:rsidRPr="00125EB9">
        <w:rPr>
          <w:rStyle w:val="CharacterStyle1"/>
          <w:rFonts w:ascii="Times New Roman" w:hAnsi="Times New Roman" w:cs="Times New Roman"/>
          <w:sz w:val="24"/>
          <w:szCs w:val="24"/>
        </w:rPr>
        <w:t xml:space="preserve">Co., Ltd. Gree Brazil now has a capacity of 20,000 units per year, making it the second-largest AC brand in Brazil. In 2004 the company earned its first profit, CNY 25 million, and achieved 10 per cent annual profit growth in three consecutive years. In 2004 and 2005, Gree Brazil won the highest-level energy saving certification, an A-Class Energy </w:t>
      </w:r>
      <w:r w:rsidRPr="00125EB9">
        <w:rPr>
          <w:rStyle w:val="CharacterStyle1"/>
          <w:rFonts w:ascii="Times New Roman" w:hAnsi="Times New Roman" w:cs="Times New Roman"/>
          <w:spacing w:val="1"/>
          <w:sz w:val="24"/>
          <w:szCs w:val="24"/>
        </w:rPr>
        <w:t xml:space="preserve">Saving Labelling Certificate, and the award of Stars of Saving for two consecutive years </w:t>
      </w:r>
      <w:r w:rsidRPr="00125EB9">
        <w:rPr>
          <w:rStyle w:val="CharacterStyle1"/>
          <w:rFonts w:ascii="Times New Roman" w:hAnsi="Times New Roman" w:cs="Times New Roman"/>
          <w:spacing w:val="6"/>
          <w:sz w:val="24"/>
          <w:szCs w:val="24"/>
        </w:rPr>
        <w:t>in Brazil. Among the participating international brands only three won the award —</w:t>
      </w:r>
      <w:r w:rsidRPr="00125EB9">
        <w:rPr>
          <w:rStyle w:val="CharacterStyle1"/>
          <w:rFonts w:ascii="Times New Roman" w:hAnsi="Times New Roman" w:cs="Times New Roman"/>
          <w:sz w:val="24"/>
          <w:szCs w:val="24"/>
        </w:rPr>
        <w:t>(China), Carrier (US) and Whirlpool (US). In 2006, the company also received the prize</w:t>
      </w:r>
      <w:r w:rsidR="008A6F98" w:rsidRPr="00125EB9">
        <w:rPr>
          <w:rStyle w:val="CharacterStyle1"/>
          <w:rFonts w:ascii="Times New Roman" w:hAnsi="Times New Roman" w:cs="Times New Roman"/>
          <w:sz w:val="24"/>
          <w:szCs w:val="24"/>
          <w:lang w:val="id-ID"/>
        </w:rPr>
        <w:t xml:space="preserve"> </w:t>
      </w:r>
      <w:r w:rsidRPr="00125EB9">
        <w:rPr>
          <w:rStyle w:val="CharacterStyle1"/>
          <w:rFonts w:ascii="Times New Roman" w:hAnsi="Times New Roman" w:cs="Times New Roman"/>
          <w:spacing w:val="-1"/>
          <w:sz w:val="24"/>
          <w:szCs w:val="24"/>
        </w:rPr>
        <w:t xml:space="preserve">of Brazilian Most Satisfying Brand from Brazil's official bureau for promoting outstanding </w:t>
      </w:r>
      <w:r w:rsidRPr="00125EB9">
        <w:rPr>
          <w:rStyle w:val="CharacterStyle1"/>
          <w:rFonts w:ascii="Times New Roman" w:hAnsi="Times New Roman" w:cs="Times New Roman"/>
          <w:sz w:val="24"/>
          <w:szCs w:val="24"/>
        </w:rPr>
        <w:t xml:space="preserve">and trustworthy brands in the Brazilian market. The prize also enjoys huge influence throughout South America. Previously awarded brands were globally famous but were never Chinese brands. A public survey revealed that Gree's steady management in the Brazilian market for eight </w:t>
      </w:r>
      <w:r w:rsidRPr="00125EB9">
        <w:rPr>
          <w:rStyle w:val="CharacterStyle1"/>
          <w:rFonts w:ascii="Times New Roman" w:hAnsi="Times New Roman" w:cs="Times New Roman"/>
          <w:sz w:val="24"/>
          <w:szCs w:val="24"/>
        </w:rPr>
        <w:lastRenderedPageBreak/>
        <w:t>years and its excellent reputation for quality and service won over millions of consumers there.</w:t>
      </w:r>
    </w:p>
    <w:p w:rsidR="009C6C85" w:rsidRPr="0087220B" w:rsidRDefault="00DD6EAB" w:rsidP="00883173">
      <w:pPr>
        <w:pStyle w:val="Style7"/>
        <w:tabs>
          <w:tab w:val="left" w:leader="underscore" w:pos="7797"/>
        </w:tabs>
        <w:spacing w:before="240" w:after="240" w:line="240" w:lineRule="auto"/>
        <w:ind w:left="0" w:right="0" w:firstLine="0"/>
        <w:rPr>
          <w:rStyle w:val="CharacterStyle1"/>
          <w:rFonts w:ascii="Tahoma" w:hAnsi="Tahoma" w:cs="Tahoma"/>
          <w:sz w:val="24"/>
          <w:szCs w:val="24"/>
        </w:rPr>
      </w:pPr>
      <w:r w:rsidRPr="0087220B">
        <w:rPr>
          <w:rStyle w:val="CharacterStyle1"/>
          <w:rFonts w:ascii="Tahoma" w:hAnsi="Tahoma" w:cs="Tahoma"/>
          <w:sz w:val="24"/>
          <w:szCs w:val="24"/>
        </w:rPr>
        <w:t>10.2.2 CHOICE OF LOCATION: THE CASE OF GREE'S FOREIGN PRODUCTION</w:t>
      </w:r>
    </w:p>
    <w:p w:rsidR="009C6C85" w:rsidRPr="00125EB9" w:rsidRDefault="00DD6EAB" w:rsidP="00883173">
      <w:pPr>
        <w:pStyle w:val="Style7"/>
        <w:tabs>
          <w:tab w:val="left" w:leader="underscore" w:pos="7797"/>
        </w:tabs>
        <w:spacing w:line="240" w:lineRule="auto"/>
        <w:ind w:left="0" w:right="0" w:firstLine="0"/>
        <w:rPr>
          <w:rStyle w:val="CharacterStyle1"/>
          <w:rFonts w:ascii="Times New Roman" w:hAnsi="Times New Roman" w:cs="Times New Roman"/>
          <w:sz w:val="24"/>
          <w:szCs w:val="24"/>
        </w:rPr>
      </w:pPr>
      <w:r w:rsidRPr="00125EB9">
        <w:rPr>
          <w:rStyle w:val="CharacterStyle1"/>
          <w:rFonts w:ascii="Times New Roman" w:hAnsi="Times New Roman" w:cs="Times New Roman"/>
          <w:spacing w:val="-2"/>
          <w:sz w:val="24"/>
          <w:szCs w:val="24"/>
        </w:rPr>
        <w:t xml:space="preserve">Gree air condition entered the Japanese market in 1993 and also received CE certification </w:t>
      </w:r>
      <w:r w:rsidRPr="00125EB9">
        <w:rPr>
          <w:rStyle w:val="CharacterStyle1"/>
          <w:rFonts w:ascii="Times New Roman" w:hAnsi="Times New Roman" w:cs="Times New Roman"/>
          <w:sz w:val="24"/>
          <w:szCs w:val="24"/>
        </w:rPr>
        <w:t xml:space="preserve">from the EU, enabling it to enter the EU market. In 1998 Gree air conditioning entered the Brazilian market and sold 12,000 units in the first six months. In the following they </w:t>
      </w:r>
      <w:r w:rsidRPr="00125EB9">
        <w:rPr>
          <w:rStyle w:val="CharacterStyle1"/>
          <w:rFonts w:ascii="Times New Roman" w:hAnsi="Times New Roman" w:cs="Times New Roman"/>
          <w:spacing w:val="-3"/>
          <w:sz w:val="24"/>
          <w:szCs w:val="24"/>
        </w:rPr>
        <w:t xml:space="preserve">sold about 100,000 units in Brazil. These overseas successes led them to consider whether </w:t>
      </w:r>
      <w:r w:rsidRPr="00125EB9">
        <w:rPr>
          <w:rStyle w:val="CharacterStyle1"/>
          <w:rFonts w:ascii="Times New Roman" w:hAnsi="Times New Roman" w:cs="Times New Roman"/>
          <w:sz w:val="24"/>
          <w:szCs w:val="24"/>
        </w:rPr>
        <w:t>they should build a foreign production facility.</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Brazil is the ninth economy in the world measured by purchasing power parity with an adjusted GDP of US$ 1.4 trillion (World Bank data). Brazil's 2003 GDP was US$ 493 billion. With 180 million people, Brazil is the fifth-largest country in terms of population </w:t>
      </w:r>
      <w:r w:rsidRPr="00125EB9">
        <w:rPr>
          <w:rStyle w:val="CharacterStyle1"/>
          <w:rFonts w:ascii="Times New Roman" w:hAnsi="Times New Roman" w:cs="Times New Roman"/>
          <w:spacing w:val="4"/>
          <w:sz w:val="24"/>
          <w:szCs w:val="24"/>
        </w:rPr>
        <w:t xml:space="preserve">and one of the major expanding markets in the world. Its per capita income is above </w:t>
      </w:r>
      <w:r w:rsidRPr="00125EB9">
        <w:rPr>
          <w:rStyle w:val="CharacterStyle1"/>
          <w:rFonts w:ascii="Times New Roman" w:hAnsi="Times New Roman" w:cs="Times New Roman"/>
          <w:spacing w:val="-1"/>
          <w:sz w:val="24"/>
          <w:szCs w:val="24"/>
        </w:rPr>
        <w:t xml:space="preserve">US$ 2,600. Adjusted by purchasing power (about US$ 7,500), this income is higher than </w:t>
      </w:r>
      <w:r w:rsidRPr="00125EB9">
        <w:rPr>
          <w:rStyle w:val="CharacterStyle1"/>
          <w:rFonts w:ascii="Times New Roman" w:hAnsi="Times New Roman" w:cs="Times New Roman"/>
          <w:sz w:val="24"/>
          <w:szCs w:val="24"/>
        </w:rPr>
        <w:t>the average in Latin America, Eastern Europe and Central Asia. Brazil is a consumer-</w:t>
      </w:r>
      <w:r w:rsidRPr="00125EB9">
        <w:rPr>
          <w:rStyle w:val="CharacterStyle1"/>
          <w:rFonts w:ascii="Times New Roman" w:hAnsi="Times New Roman" w:cs="Times New Roman"/>
          <w:spacing w:val="5"/>
          <w:sz w:val="24"/>
          <w:szCs w:val="24"/>
        </w:rPr>
        <w:t xml:space="preserve">driven society, and average consumption of durable goods is near the average of the </w:t>
      </w:r>
      <w:r w:rsidRPr="00125EB9">
        <w:rPr>
          <w:rStyle w:val="CharacterStyle1"/>
          <w:rFonts w:ascii="Times New Roman" w:hAnsi="Times New Roman" w:cs="Times New Roman"/>
          <w:sz w:val="24"/>
          <w:szCs w:val="24"/>
        </w:rPr>
        <w:t>major developing countries. Furthermore, the AC market demand was still upward. At that time, Brazilian market demand focused on window ACs, which were too expensive for people to purchase.</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4"/>
          <w:sz w:val="24"/>
          <w:szCs w:val="24"/>
        </w:rPr>
        <w:t xml:space="preserve">Seasons in Brazil are the opposite of the northern hemisphere countries such as China: </w:t>
      </w:r>
      <w:r w:rsidRPr="00125EB9">
        <w:rPr>
          <w:rStyle w:val="CharacterStyle1"/>
          <w:rFonts w:ascii="Times New Roman" w:hAnsi="Times New Roman" w:cs="Times New Roman"/>
          <w:sz w:val="24"/>
          <w:szCs w:val="24"/>
        </w:rPr>
        <w:t>winter is June-September and summer November-March. Ninety per cent of the country is within the tropical zone. On average, the temperature during summer ranges from 25 to 40°C (75-100°F), which is suitable for the sale of air conditioners. Furthermore, the complementary sales season can help Gree balance their production arrangements.</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3"/>
          <w:sz w:val="24"/>
          <w:szCs w:val="24"/>
        </w:rPr>
        <w:t xml:space="preserve">However, the Brazilian market was not a favourable one for Chinese export production. </w:t>
      </w:r>
      <w:r w:rsidRPr="00125EB9">
        <w:rPr>
          <w:rStyle w:val="CharacterStyle1"/>
          <w:rFonts w:ascii="Times New Roman" w:hAnsi="Times New Roman" w:cs="Times New Roman"/>
          <w:spacing w:val="-2"/>
          <w:sz w:val="24"/>
          <w:szCs w:val="24"/>
        </w:rPr>
        <w:t xml:space="preserve">In order to protect its own industry, the Brazilian government increased its tariff to 17 per </w:t>
      </w:r>
      <w:r w:rsidRPr="00125EB9">
        <w:rPr>
          <w:rStyle w:val="CharacterStyle1"/>
          <w:rFonts w:ascii="Times New Roman" w:hAnsi="Times New Roman" w:cs="Times New Roman"/>
          <w:spacing w:val="-1"/>
          <w:sz w:val="24"/>
          <w:szCs w:val="24"/>
        </w:rPr>
        <w:t xml:space="preserve">cent for common products, and up to 20 per cent on consumable dairy products. The law </w:t>
      </w:r>
      <w:r w:rsidRPr="00125EB9">
        <w:rPr>
          <w:rStyle w:val="CharacterStyle1"/>
          <w:rFonts w:ascii="Times New Roman" w:hAnsi="Times New Roman" w:cs="Times New Roman"/>
          <w:sz w:val="24"/>
          <w:szCs w:val="24"/>
        </w:rPr>
        <w:t xml:space="preserve">prescribed that merchandise imported by ship must stipulate insurance with a Brazilian </w:t>
      </w:r>
      <w:r w:rsidRPr="00125EB9">
        <w:rPr>
          <w:rStyle w:val="CharacterStyle1"/>
          <w:rFonts w:ascii="Times New Roman" w:hAnsi="Times New Roman" w:cs="Times New Roman"/>
          <w:spacing w:val="3"/>
          <w:sz w:val="24"/>
          <w:szCs w:val="24"/>
        </w:rPr>
        <w:t xml:space="preserve">shipping insurance company, and the insurance fee accounted for 1.5 per cent of the </w:t>
      </w:r>
      <w:r w:rsidRPr="00125EB9">
        <w:rPr>
          <w:rStyle w:val="CharacterStyle1"/>
          <w:rFonts w:ascii="Times New Roman" w:hAnsi="Times New Roman" w:cs="Times New Roman"/>
          <w:sz w:val="24"/>
          <w:szCs w:val="24"/>
        </w:rPr>
        <w:t xml:space="preserve">total value, which was far higher than the international average level. Finally, the total </w:t>
      </w:r>
      <w:r w:rsidRPr="00125EB9">
        <w:rPr>
          <w:rStyle w:val="CharacterStyle1"/>
          <w:rFonts w:ascii="Times New Roman" w:hAnsi="Times New Roman" w:cs="Times New Roman"/>
          <w:spacing w:val="-1"/>
          <w:sz w:val="24"/>
          <w:szCs w:val="24"/>
        </w:rPr>
        <w:t xml:space="preserve">cost after tax was about 1.8-2 times the CIF (Cost Insurance and Freight) of the imported </w:t>
      </w:r>
      <w:r w:rsidRPr="00125EB9">
        <w:rPr>
          <w:rStyle w:val="CharacterStyle1"/>
          <w:rFonts w:ascii="Times New Roman" w:hAnsi="Times New Roman" w:cs="Times New Roman"/>
          <w:sz w:val="24"/>
          <w:szCs w:val="24"/>
        </w:rPr>
        <w:t>products.</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6"/>
          <w:sz w:val="24"/>
          <w:szCs w:val="24"/>
        </w:rPr>
        <w:t xml:space="preserve">The Latin American continent is the farthest continent away from China. There </w:t>
      </w:r>
      <w:r w:rsidRPr="00125EB9">
        <w:rPr>
          <w:rStyle w:val="CharacterStyle1"/>
          <w:rFonts w:ascii="Times New Roman" w:hAnsi="Times New Roman" w:cs="Times New Roman"/>
          <w:spacing w:val="3"/>
          <w:sz w:val="24"/>
          <w:szCs w:val="24"/>
        </w:rPr>
        <w:t xml:space="preserve">were few shipping arrangements between Brazil and China, and the general timetable </w:t>
      </w:r>
      <w:r w:rsidRPr="00125EB9">
        <w:rPr>
          <w:rStyle w:val="CharacterStyle1"/>
          <w:rFonts w:ascii="Times New Roman" w:hAnsi="Times New Roman" w:cs="Times New Roman"/>
          <w:sz w:val="24"/>
          <w:szCs w:val="24"/>
        </w:rPr>
        <w:t xml:space="preserve">is 45-60 days. Considering the time needed for customs declaration and shipping, the entire transport time from Zhuhai to the Brazilian market was 90 days. The transport </w:t>
      </w:r>
      <w:r w:rsidRPr="00125EB9">
        <w:rPr>
          <w:rStyle w:val="CharacterStyle1"/>
          <w:rFonts w:ascii="Times New Roman" w:hAnsi="Times New Roman" w:cs="Times New Roman"/>
          <w:spacing w:val="3"/>
          <w:sz w:val="24"/>
          <w:szCs w:val="24"/>
        </w:rPr>
        <w:t xml:space="preserve">cycle was too long and there was uncertainty in the transportation process: when the </w:t>
      </w:r>
      <w:r w:rsidRPr="00125EB9">
        <w:rPr>
          <w:rStyle w:val="CharacterStyle1"/>
          <w:rFonts w:ascii="Times New Roman" w:hAnsi="Times New Roman" w:cs="Times New Roman"/>
          <w:sz w:val="24"/>
          <w:szCs w:val="24"/>
        </w:rPr>
        <w:t xml:space="preserve">air conditioners were shipped to the Brazilian market, the peak sales period had been </w:t>
      </w:r>
      <w:r w:rsidRPr="00125EB9">
        <w:rPr>
          <w:rStyle w:val="CharacterStyle1"/>
          <w:rFonts w:ascii="Times New Roman" w:hAnsi="Times New Roman" w:cs="Times New Roman"/>
          <w:spacing w:val="-1"/>
          <w:sz w:val="24"/>
          <w:szCs w:val="24"/>
        </w:rPr>
        <w:t xml:space="preserve">missed, or the characteristics of local consumer demand had changed. All of these would </w:t>
      </w:r>
      <w:r w:rsidRPr="00125EB9">
        <w:rPr>
          <w:rStyle w:val="CharacterStyle1"/>
          <w:rFonts w:ascii="Times New Roman" w:hAnsi="Times New Roman" w:cs="Times New Roman"/>
          <w:sz w:val="24"/>
          <w:szCs w:val="24"/>
        </w:rPr>
        <w:t>ultimately affect Gree's market performance.</w:t>
      </w:r>
    </w:p>
    <w:p w:rsidR="00DE5088"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Brazil was a potential huge market: it accounts for three-fifths of South American industrial production and was an initiator of the South American Common Market -</w:t>
      </w:r>
    </w:p>
    <w:p w:rsidR="009C6C85" w:rsidRPr="00125EB9" w:rsidRDefault="00DD6EAB" w:rsidP="00883173">
      <w:pPr>
        <w:pStyle w:val="Style7"/>
        <w:tabs>
          <w:tab w:val="left" w:leader="underscore" w:pos="7797"/>
        </w:tabs>
        <w:spacing w:line="240" w:lineRule="auto"/>
        <w:ind w:left="0" w:right="0" w:firstLine="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Mercosur — which is the largest economic integration market in South America. The </w:t>
      </w:r>
      <w:r w:rsidRPr="00125EB9">
        <w:rPr>
          <w:rStyle w:val="CharacterStyle1"/>
          <w:rFonts w:ascii="Times New Roman" w:hAnsi="Times New Roman" w:cs="Times New Roman"/>
          <w:spacing w:val="9"/>
          <w:sz w:val="24"/>
          <w:szCs w:val="24"/>
        </w:rPr>
        <w:t xml:space="preserve">country's scientific and technological development, together with a dynamic and </w:t>
      </w:r>
      <w:r w:rsidRPr="00125EB9">
        <w:rPr>
          <w:rStyle w:val="CharacterStyle1"/>
          <w:rFonts w:ascii="Times New Roman" w:hAnsi="Times New Roman" w:cs="Times New Roman"/>
          <w:sz w:val="24"/>
          <w:szCs w:val="24"/>
        </w:rPr>
        <w:t>diversified industrial sector, is attractive to foreign enterprises: direct investment was in the region of US$ 20 billion/year on average, compared to US$ 2 billion/year from 1990</w:t>
      </w:r>
      <w:r w:rsidRPr="00125EB9">
        <w:rPr>
          <w:rStyle w:val="CharacterStyle1"/>
          <w:rFonts w:ascii="Times New Roman" w:hAnsi="Times New Roman" w:cs="Times New Roman"/>
          <w:sz w:val="24"/>
          <w:szCs w:val="24"/>
        </w:rPr>
        <w:softHyphen/>
        <w:t>2000.</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Brazil is one of the world's largest producers and exporters of raw and processed </w:t>
      </w:r>
      <w:r w:rsidRPr="00125EB9">
        <w:rPr>
          <w:rStyle w:val="CharacterStyle1"/>
          <w:rFonts w:ascii="Times New Roman" w:hAnsi="Times New Roman" w:cs="Times New Roman"/>
          <w:sz w:val="24"/>
          <w:szCs w:val="24"/>
        </w:rPr>
        <w:lastRenderedPageBreak/>
        <w:t xml:space="preserve">minerals. Apart from its major oil and gas reserves, the country's enormous mineral </w:t>
      </w:r>
      <w:r w:rsidRPr="00125EB9">
        <w:rPr>
          <w:rStyle w:val="CharacterStyle1"/>
          <w:rFonts w:ascii="Times New Roman" w:hAnsi="Times New Roman" w:cs="Times New Roman"/>
          <w:spacing w:val="-3"/>
          <w:sz w:val="24"/>
          <w:szCs w:val="24"/>
        </w:rPr>
        <w:t xml:space="preserve">deposits include reserves of iron, bauxite, manganese, tin and gold. Brazil's manufacturing industry is the largest and most diverse in Latin America. In addition to traditional sectors, </w:t>
      </w:r>
      <w:r w:rsidRPr="00125EB9">
        <w:rPr>
          <w:rStyle w:val="CharacterStyle1"/>
          <w:rFonts w:ascii="Times New Roman" w:hAnsi="Times New Roman" w:cs="Times New Roman"/>
          <w:sz w:val="24"/>
          <w:szCs w:val="24"/>
        </w:rPr>
        <w:t xml:space="preserve">such as machine tools, electrical equipment and cars, several technologically advanced </w:t>
      </w:r>
      <w:r w:rsidRPr="00125EB9">
        <w:rPr>
          <w:rStyle w:val="CharacterStyle1"/>
          <w:rFonts w:ascii="Times New Roman" w:hAnsi="Times New Roman" w:cs="Times New Roman"/>
          <w:spacing w:val="2"/>
          <w:sz w:val="24"/>
          <w:szCs w:val="24"/>
        </w:rPr>
        <w:t xml:space="preserve">industries have developed during the past decade, two of the most significant of which </w:t>
      </w:r>
      <w:r w:rsidRPr="00125EB9">
        <w:rPr>
          <w:rStyle w:val="CharacterStyle1"/>
          <w:rFonts w:ascii="Times New Roman" w:hAnsi="Times New Roman" w:cs="Times New Roman"/>
          <w:sz w:val="24"/>
          <w:szCs w:val="24"/>
        </w:rPr>
        <w:t>are aircraft manufacturing and the production of telecommunications equipment.</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3"/>
          <w:sz w:val="24"/>
          <w:szCs w:val="24"/>
        </w:rPr>
        <w:t xml:space="preserve">To develop the western part of the country, the Brazilian government passed a bill to build Manaus free port in 1957: the port was enhanced to become a free trade area </w:t>
      </w:r>
      <w:r w:rsidRPr="00125EB9">
        <w:rPr>
          <w:rStyle w:val="CharacterStyle1"/>
          <w:rFonts w:ascii="Times New Roman" w:hAnsi="Times New Roman" w:cs="Times New Roman"/>
          <w:sz w:val="24"/>
          <w:szCs w:val="24"/>
        </w:rPr>
        <w:t>in 1967 (Figure 10.4). Manaus Free Trade Area is the only integrated economic special district in Brazil and in all of Latin America. Although its highway and subway were not convenient, it has a wonderful sea route that can serve 10,000 tons-class ships, and the world's largest floating dock.</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Manaus free port used different investment promotion policies. All of the companies established in this area could secure some incentive benefits. The Brazilian government </w:t>
      </w:r>
      <w:r w:rsidRPr="00125EB9">
        <w:rPr>
          <w:rStyle w:val="CharacterStyle1"/>
          <w:rFonts w:ascii="Times New Roman" w:hAnsi="Times New Roman" w:cs="Times New Roman"/>
          <w:spacing w:val="-1"/>
          <w:sz w:val="24"/>
          <w:szCs w:val="24"/>
        </w:rPr>
        <w:t xml:space="preserve">conceded that all products produced at Manaus sold on the Brazilian market were free of </w:t>
      </w:r>
      <w:r w:rsidRPr="00125EB9">
        <w:rPr>
          <w:rStyle w:val="CharacterStyle1"/>
          <w:rFonts w:ascii="Times New Roman" w:hAnsi="Times New Roman" w:cs="Times New Roman"/>
          <w:sz w:val="24"/>
          <w:szCs w:val="24"/>
        </w:rPr>
        <w:t xml:space="preserve">industry tax, and that all the enterprises located at Manaus would be free of income tax in the first ten years with 50 per cent discounts in the next consecutive five years. The </w:t>
      </w:r>
      <w:r w:rsidRPr="00125EB9">
        <w:rPr>
          <w:rStyle w:val="CharacterStyle1"/>
          <w:rFonts w:ascii="Times New Roman" w:hAnsi="Times New Roman" w:cs="Times New Roman"/>
          <w:spacing w:val="3"/>
          <w:sz w:val="24"/>
          <w:szCs w:val="24"/>
        </w:rPr>
        <w:t xml:space="preserve">Manaus government provided that all the foreign enterprises located in the city would </w:t>
      </w:r>
      <w:r w:rsidRPr="00125EB9">
        <w:rPr>
          <w:rStyle w:val="CharacterStyle1"/>
          <w:rFonts w:ascii="Times New Roman" w:hAnsi="Times New Roman" w:cs="Times New Roman"/>
          <w:sz w:val="24"/>
          <w:szCs w:val="24"/>
        </w:rPr>
        <w:t xml:space="preserve">be free of real estate tax, rubbish collection tax, local sanitation tax, maintenance tax for </w:t>
      </w:r>
      <w:r w:rsidRPr="00125EB9">
        <w:rPr>
          <w:rStyle w:val="CharacterStyle1"/>
          <w:rFonts w:ascii="Times New Roman" w:hAnsi="Times New Roman" w:cs="Times New Roman"/>
          <w:spacing w:val="-2"/>
          <w:sz w:val="24"/>
          <w:szCs w:val="24"/>
        </w:rPr>
        <w:t xml:space="preserve">public properties and roads, and business license tax. If any investors purchased land for </w:t>
      </w:r>
      <w:r w:rsidRPr="00125EB9">
        <w:rPr>
          <w:rStyle w:val="CharacterStyle1"/>
          <w:rFonts w:ascii="Times New Roman" w:hAnsi="Times New Roman" w:cs="Times New Roman"/>
          <w:sz w:val="24"/>
          <w:szCs w:val="24"/>
        </w:rPr>
        <w:t>their factories, they paid a symbolic fee of 1 Brazilian real per square meter (about 1 US dollar at that time).</w:t>
      </w:r>
    </w:p>
    <w:p w:rsidR="009C6C85" w:rsidRPr="00125EB9" w:rsidRDefault="00DD6EAB" w:rsidP="00883173">
      <w:pPr>
        <w:pStyle w:val="Style1"/>
        <w:tabs>
          <w:tab w:val="left" w:leader="underscore" w:pos="7797"/>
        </w:tabs>
        <w:adjustRightInd/>
        <w:ind w:firstLine="360"/>
        <w:rPr>
          <w:sz w:val="24"/>
          <w:szCs w:val="24"/>
        </w:rPr>
      </w:pPr>
      <w:r w:rsidRPr="00125EB9">
        <w:rPr>
          <w:sz w:val="24"/>
          <w:szCs w:val="24"/>
        </w:rPr>
        <w:t>All of these factors persuaded Gree to locate its first foreign production facility in Manaus.</w:t>
      </w:r>
    </w:p>
    <w:p w:rsidR="009C6C85" w:rsidRPr="0087220B" w:rsidRDefault="00DD6EAB" w:rsidP="00883173">
      <w:pPr>
        <w:pStyle w:val="Style1"/>
        <w:tabs>
          <w:tab w:val="left" w:leader="underscore" w:pos="7797"/>
        </w:tabs>
        <w:adjustRightInd/>
        <w:spacing w:before="360" w:after="240"/>
        <w:rPr>
          <w:rFonts w:ascii="Tahoma" w:hAnsi="Tahoma" w:cs="Tahoma"/>
          <w:sz w:val="24"/>
          <w:szCs w:val="24"/>
        </w:rPr>
      </w:pPr>
      <w:r w:rsidRPr="0087220B">
        <w:rPr>
          <w:rFonts w:ascii="Tahoma" w:hAnsi="Tahoma" w:cs="Tahoma"/>
          <w:sz w:val="24"/>
          <w:szCs w:val="24"/>
        </w:rPr>
        <w:t>10.2.3 THE PROBLEMS GREE BRAZIL FACED IN ITS DAILY OPERATION</w:t>
      </w:r>
    </w:p>
    <w:p w:rsidR="009C6C85" w:rsidRPr="00125EB9" w:rsidRDefault="00DD6EAB" w:rsidP="00883173">
      <w:pPr>
        <w:pStyle w:val="Style7"/>
        <w:tabs>
          <w:tab w:val="left" w:leader="underscore" w:pos="7797"/>
        </w:tabs>
        <w:spacing w:line="240" w:lineRule="auto"/>
        <w:ind w:left="0" w:right="0" w:firstLine="0"/>
        <w:rPr>
          <w:rStyle w:val="CharacterStyle1"/>
          <w:rFonts w:ascii="Times New Roman" w:hAnsi="Times New Roman" w:cs="Times New Roman"/>
          <w:sz w:val="24"/>
          <w:szCs w:val="24"/>
        </w:rPr>
      </w:pPr>
      <w:r w:rsidRPr="00125EB9">
        <w:rPr>
          <w:rStyle w:val="CharacterStyle1"/>
          <w:rFonts w:ascii="Times New Roman" w:hAnsi="Times New Roman" w:cs="Times New Roman"/>
          <w:spacing w:val="-1"/>
          <w:sz w:val="24"/>
          <w:szCs w:val="24"/>
        </w:rPr>
        <w:t xml:space="preserve">Gree's success in founding its foreign facility in Brazil did not necessarily ensure success </w:t>
      </w:r>
      <w:r w:rsidRPr="00125EB9">
        <w:rPr>
          <w:rStyle w:val="CharacterStyle1"/>
          <w:rFonts w:ascii="Times New Roman" w:hAnsi="Times New Roman" w:cs="Times New Roman"/>
          <w:spacing w:val="-2"/>
          <w:sz w:val="24"/>
          <w:szCs w:val="24"/>
        </w:rPr>
        <w:t xml:space="preserve">in foreign production. In its daily operation, Gree faced various problems such as cultural </w:t>
      </w:r>
      <w:r w:rsidRPr="00125EB9">
        <w:rPr>
          <w:rStyle w:val="CharacterStyle1"/>
          <w:rFonts w:ascii="Times New Roman" w:hAnsi="Times New Roman" w:cs="Times New Roman"/>
          <w:sz w:val="24"/>
          <w:szCs w:val="24"/>
        </w:rPr>
        <w:t>conflict and administration puzzles.</w:t>
      </w:r>
    </w:p>
    <w:p w:rsidR="009C6C85"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As mentioned earlier, 90 per cent of the country is within the tropical zone. The staff </w:t>
      </w:r>
      <w:r w:rsidRPr="00125EB9">
        <w:rPr>
          <w:rStyle w:val="CharacterStyle1"/>
          <w:rFonts w:ascii="Times New Roman" w:hAnsi="Times New Roman" w:cs="Times New Roman"/>
          <w:spacing w:val="-3"/>
          <w:sz w:val="24"/>
          <w:szCs w:val="24"/>
        </w:rPr>
        <w:t xml:space="preserve">from China had first to acclimatize to the weather. Brazil is a Portuguese-speaking country, </w:t>
      </w:r>
      <w:r w:rsidRPr="00125EB9">
        <w:rPr>
          <w:rStyle w:val="CharacterStyle1"/>
          <w:rFonts w:ascii="Times New Roman" w:hAnsi="Times New Roman" w:cs="Times New Roman"/>
          <w:sz w:val="24"/>
          <w:szCs w:val="24"/>
        </w:rPr>
        <w:t>but at that time none of the Chinese staff could speak Portuguese, so inconvenience emerged everywhere.</w:t>
      </w:r>
    </w:p>
    <w:p w:rsidR="0087220B" w:rsidRPr="0087220B" w:rsidRDefault="0087220B" w:rsidP="00883173">
      <w:pPr>
        <w:pStyle w:val="Style7"/>
        <w:tabs>
          <w:tab w:val="left" w:leader="underscore" w:pos="7797"/>
        </w:tabs>
        <w:spacing w:line="240" w:lineRule="auto"/>
        <w:ind w:left="0" w:right="0"/>
        <w:rPr>
          <w:rStyle w:val="CharacterStyle1"/>
          <w:rFonts w:ascii="Times New Roman" w:hAnsi="Times New Roman" w:cs="Times New Roman"/>
          <w:sz w:val="14"/>
          <w:szCs w:val="24"/>
        </w:rPr>
      </w:pPr>
    </w:p>
    <w:p w:rsidR="009C6C85" w:rsidRPr="00125EB9" w:rsidRDefault="00DD6EAB" w:rsidP="00883173">
      <w:pPr>
        <w:pStyle w:val="Style1"/>
        <w:tabs>
          <w:tab w:val="left" w:leader="underscore" w:pos="7797"/>
        </w:tabs>
        <w:adjustRightInd/>
        <w:ind w:left="360"/>
        <w:jc w:val="both"/>
        <w:rPr>
          <w:i/>
          <w:iCs/>
          <w:sz w:val="24"/>
          <w:szCs w:val="24"/>
        </w:rPr>
      </w:pPr>
      <w:r w:rsidRPr="00125EB9">
        <w:rPr>
          <w:i/>
          <w:iCs/>
          <w:spacing w:val="5"/>
          <w:sz w:val="24"/>
          <w:szCs w:val="24"/>
        </w:rPr>
        <w:t xml:space="preserve">Language barriers and communication difficulties, the difficulties in getting used to Brazilian </w:t>
      </w:r>
      <w:r w:rsidRPr="00125EB9">
        <w:rPr>
          <w:i/>
          <w:iCs/>
          <w:spacing w:val="9"/>
          <w:sz w:val="24"/>
          <w:szCs w:val="24"/>
        </w:rPr>
        <w:t xml:space="preserve">food, the tropical climate, totally different way of thinking, strong homesickness, and the </w:t>
      </w:r>
      <w:r w:rsidRPr="00125EB9">
        <w:rPr>
          <w:i/>
          <w:iCs/>
          <w:sz w:val="24"/>
          <w:szCs w:val="24"/>
        </w:rPr>
        <w:t>annoying mosquitoes. After less than a month, I had had enough. But we all soldiered on.</w:t>
      </w:r>
    </w:p>
    <w:p w:rsidR="00DE5088" w:rsidRDefault="00DD6EAB" w:rsidP="00883173">
      <w:pPr>
        <w:pStyle w:val="Style1"/>
        <w:tabs>
          <w:tab w:val="left" w:leader="underscore" w:pos="7797"/>
        </w:tabs>
        <w:adjustRightInd/>
        <w:spacing w:before="120"/>
        <w:ind w:left="2970"/>
        <w:rPr>
          <w:szCs w:val="24"/>
        </w:rPr>
      </w:pPr>
      <w:r w:rsidRPr="0087220B">
        <w:rPr>
          <w:szCs w:val="24"/>
        </w:rPr>
        <w:t>Mr Nie, a service manager who worked in Brazil for six years</w:t>
      </w:r>
    </w:p>
    <w:p w:rsidR="009C6C85" w:rsidRDefault="0087220B" w:rsidP="00883173">
      <w:pPr>
        <w:tabs>
          <w:tab w:val="left" w:leader="underscore" w:pos="7797"/>
        </w:tabs>
        <w:adjustRightInd/>
        <w:rPr>
          <w:sz w:val="24"/>
          <w:szCs w:val="24"/>
        </w:rPr>
      </w:pPr>
      <w:r>
        <w:rPr>
          <w:noProof/>
          <w:sz w:val="24"/>
          <w:szCs w:val="24"/>
        </w:rPr>
        <w:lastRenderedPageBreak/>
        <mc:AlternateContent>
          <mc:Choice Requires="wps">
            <w:drawing>
              <wp:anchor distT="0" distB="0" distL="114300" distR="114300" simplePos="0" relativeHeight="251668992" behindDoc="0" locked="0" layoutInCell="1" allowOverlap="1">
                <wp:simplePos x="0" y="0"/>
                <wp:positionH relativeFrom="column">
                  <wp:posOffset>1135380</wp:posOffset>
                </wp:positionH>
                <wp:positionV relativeFrom="paragraph">
                  <wp:posOffset>150495</wp:posOffset>
                </wp:positionV>
                <wp:extent cx="2971800" cy="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29718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C09C26F" id="Straight Connector 15" o:spid="_x0000_s1026" style="position:absolute;z-index:25166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9.4pt,11.85pt" to="323.4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" strokecolor="black [3213]" strokeweight="1.5pt">
                <v:stroke joinstyle="miter"/>
              </v:line>
            </w:pict>
          </mc:Fallback>
        </mc:AlternateContent>
      </w:r>
      <w:r w:rsidR="00D2517D" w:rsidRPr="00125EB9">
        <w:rPr>
          <w:noProof/>
          <w:sz w:val="24"/>
          <w:szCs w:val="24"/>
        </w:rPr>
        <w:drawing>
          <wp:inline distT="0" distB="0" distL="0" distR="0">
            <wp:extent cx="4571872" cy="3943350"/>
            <wp:effectExtent l="0" t="0" r="635" b="0"/>
            <wp:docPr id="5" name="Picture 5" descr="_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_Pic5"/>
                    <pic:cNvPicPr>
                      <a:picLocks noChangeAspect="1" noChangeArrowheads="1"/>
                    </pic:cNvPicPr>
                  </pic:nvPicPr>
                  <pic:blipFill rotWithShape="1">
                    <a:blip r:embed="rId12">
                      <a:extLst>
                        <a:ext uri="{28A0092B-C50C-407E-A947-70E740481C1C}">
                          <a14:useLocalDpi xmlns:a14="http://schemas.microsoft.com/office/drawing/2010/main" val="0"/>
                        </a:ext>
                      </a:extLst>
                    </a:blip>
                    <a:srcRect b="1194"/>
                    <a:stretch/>
                  </pic:blipFill>
                  <pic:spPr bwMode="auto">
                    <a:xfrm>
                      <a:off x="0" y="0"/>
                      <a:ext cx="4573689" cy="3944917"/>
                    </a:xfrm>
                    <a:prstGeom prst="rect">
                      <a:avLst/>
                    </a:prstGeom>
                    <a:noFill/>
                    <a:ln>
                      <a:noFill/>
                    </a:ln>
                    <a:extLst>
                      <a:ext uri="{53640926-AAD7-44D8-BBD7-CCE9431645EC}">
                        <a14:shadowObscured xmlns:a14="http://schemas.microsoft.com/office/drawing/2010/main"/>
                      </a:ext>
                    </a:extLst>
                  </pic:spPr>
                </pic:pic>
              </a:graphicData>
            </a:graphic>
          </wp:inline>
        </w:drawing>
      </w:r>
    </w:p>
    <w:p w:rsidR="0087220B" w:rsidRDefault="0087220B" w:rsidP="00883173">
      <w:pPr>
        <w:tabs>
          <w:tab w:val="left" w:leader="underscore" w:pos="7797"/>
        </w:tabs>
        <w:adjustRightInd/>
        <w:rPr>
          <w:sz w:val="24"/>
          <w:szCs w:val="24"/>
        </w:rPr>
      </w:pPr>
    </w:p>
    <w:p w:rsidR="0087220B" w:rsidRPr="00125EB9" w:rsidRDefault="0087220B" w:rsidP="00883173">
      <w:pPr>
        <w:tabs>
          <w:tab w:val="left" w:leader="underscore" w:pos="7797"/>
        </w:tabs>
        <w:adjustRightInd/>
        <w:rPr>
          <w:sz w:val="24"/>
          <w:szCs w:val="24"/>
        </w:rPr>
      </w:pPr>
    </w:p>
    <w:p w:rsidR="009C6C85" w:rsidRPr="00125EB9" w:rsidRDefault="00DD6EAB" w:rsidP="00883173">
      <w:pPr>
        <w:pStyle w:val="Style2"/>
        <w:tabs>
          <w:tab w:val="left" w:leader="underscore" w:pos="7797"/>
        </w:tabs>
        <w:spacing w:line="240" w:lineRule="auto"/>
        <w:ind w:left="0" w:firstLine="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Thanks to the hard work of these Chinese employees, Gree Brazil was able to start its production quickly.</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Besides language differences, the Chinese managers also faced problems caused by cultural diversity. In Chinese enterprises, if it is necessary managers can arrange for workers to do different work as needed, but in Brazil this is unacceptable. For example, </w:t>
      </w:r>
      <w:r w:rsidRPr="00125EB9">
        <w:rPr>
          <w:rStyle w:val="CharacterStyle1"/>
          <w:rFonts w:ascii="Times New Roman" w:hAnsi="Times New Roman" w:cs="Times New Roman"/>
          <w:spacing w:val="4"/>
          <w:sz w:val="24"/>
          <w:szCs w:val="24"/>
        </w:rPr>
        <w:t xml:space="preserve">in Brazilian enterprises if a production line was shut down due to materials shortage </w:t>
      </w:r>
      <w:r w:rsidRPr="00125EB9">
        <w:rPr>
          <w:rStyle w:val="CharacterStyle1"/>
          <w:rFonts w:ascii="Times New Roman" w:hAnsi="Times New Roman" w:cs="Times New Roman"/>
          <w:sz w:val="24"/>
          <w:szCs w:val="24"/>
        </w:rPr>
        <w:t xml:space="preserve">the workers would be given a break, and not asked to clean the workshop as Chinese </w:t>
      </w:r>
      <w:r w:rsidRPr="00125EB9">
        <w:rPr>
          <w:rStyle w:val="CharacterStyle1"/>
          <w:rFonts w:ascii="Times New Roman" w:hAnsi="Times New Roman" w:cs="Times New Roman"/>
          <w:spacing w:val="4"/>
          <w:sz w:val="24"/>
          <w:szCs w:val="24"/>
        </w:rPr>
        <w:t xml:space="preserve">enterprises sometimes do. If the workers were obliged to do so, they had the right to </w:t>
      </w:r>
      <w:r w:rsidRPr="00125EB9">
        <w:rPr>
          <w:rStyle w:val="CharacterStyle1"/>
          <w:rFonts w:ascii="Times New Roman" w:hAnsi="Times New Roman" w:cs="Times New Roman"/>
          <w:sz w:val="24"/>
          <w:szCs w:val="24"/>
        </w:rPr>
        <w:t>sue their company. Chinese managers were at first inflexible about this problem, but eventually accepted and respected this custom, which helped them obtain optimum production efficiency.</w:t>
      </w:r>
    </w:p>
    <w:p w:rsidR="00DE5088"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1"/>
          <w:sz w:val="24"/>
          <w:szCs w:val="24"/>
        </w:rPr>
        <w:t xml:space="preserve">Bureaucracy was a major problem: laws and regulations in Brazil are rather different from other countries. As a foreign-owned enterprise, the managers were not familiar with </w:t>
      </w:r>
      <w:r w:rsidRPr="00125EB9">
        <w:rPr>
          <w:rStyle w:val="CharacterStyle1"/>
          <w:rFonts w:ascii="Times New Roman" w:hAnsi="Times New Roman" w:cs="Times New Roman"/>
          <w:sz w:val="24"/>
          <w:szCs w:val="24"/>
        </w:rPr>
        <w:t>them and suffered as a result. Initially they could not grasp the idea that companies in Brazil must raise wages according to the annual inflation rate and their failure to do so was objected to by a labour union. Clearly Gree Brazil has paid greater attention to such details. Brazil's tax framework is complicated</w:t>
      </w:r>
      <w:r w:rsidR="0087220B">
        <w:rPr>
          <w:rStyle w:val="CharacterStyle1"/>
          <w:rFonts w:ascii="Times New Roman" w:hAnsi="Times New Roman" w:cs="Times New Roman"/>
          <w:sz w:val="24"/>
          <w:szCs w:val="24"/>
        </w:rPr>
        <w:br/>
      </w:r>
      <w:r w:rsidRPr="00125EB9">
        <w:rPr>
          <w:rStyle w:val="CharacterStyle1"/>
          <w:rFonts w:ascii="Times New Roman" w:hAnsi="Times New Roman" w:cs="Times New Roman"/>
          <w:sz w:val="24"/>
          <w:szCs w:val="24"/>
        </w:rPr>
        <w:t xml:space="preserve"> many enterprises are easily penalized for inadvertent tax evasion but Gree were able to resolve this problem. In 2006, the Manaus </w:t>
      </w:r>
      <w:r w:rsidRPr="00125EB9">
        <w:rPr>
          <w:rStyle w:val="CharacterStyle1"/>
          <w:rFonts w:ascii="Times New Roman" w:hAnsi="Times New Roman" w:cs="Times New Roman"/>
          <w:spacing w:val="-2"/>
          <w:sz w:val="24"/>
          <w:szCs w:val="24"/>
        </w:rPr>
        <w:t xml:space="preserve">Inland Revenue Department audited Gree Brazil's past five years' account books and were </w:t>
      </w:r>
      <w:r w:rsidRPr="00125EB9">
        <w:rPr>
          <w:rStyle w:val="CharacterStyle1"/>
          <w:rFonts w:ascii="Times New Roman" w:hAnsi="Times New Roman" w:cs="Times New Roman"/>
          <w:sz w:val="24"/>
          <w:szCs w:val="24"/>
        </w:rPr>
        <w:t>more than happy with their findings.</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11"/>
          <w:sz w:val="24"/>
          <w:szCs w:val="24"/>
        </w:rPr>
        <w:t xml:space="preserve">In Gree Brazil's last five years of operation, the most intractable problem it </w:t>
      </w:r>
      <w:r w:rsidRPr="00125EB9">
        <w:rPr>
          <w:rStyle w:val="CharacterStyle1"/>
          <w:rFonts w:ascii="Times New Roman" w:hAnsi="Times New Roman" w:cs="Times New Roman"/>
          <w:sz w:val="24"/>
          <w:szCs w:val="24"/>
        </w:rPr>
        <w:t xml:space="preserve">experienced was the exchange rate crisis in 2002. The company imported various parts to </w:t>
      </w:r>
      <w:r w:rsidRPr="00125EB9">
        <w:rPr>
          <w:rStyle w:val="CharacterStyle1"/>
          <w:rFonts w:ascii="Times New Roman" w:hAnsi="Times New Roman" w:cs="Times New Roman"/>
          <w:sz w:val="24"/>
          <w:szCs w:val="24"/>
        </w:rPr>
        <w:lastRenderedPageBreak/>
        <w:t xml:space="preserve">satisfy production, and the products were then sold in the Brazilian market. In this </w:t>
      </w:r>
      <w:r w:rsidRPr="00125EB9">
        <w:rPr>
          <w:rStyle w:val="CharacterStyle1"/>
          <w:rFonts w:ascii="Times New Roman" w:hAnsi="Times New Roman" w:cs="Times New Roman"/>
          <w:spacing w:val="3"/>
          <w:sz w:val="24"/>
          <w:szCs w:val="24"/>
        </w:rPr>
        <w:t xml:space="preserve">transformation process, their imports were counted in dollars and sales were counted </w:t>
      </w:r>
      <w:r w:rsidRPr="00125EB9">
        <w:rPr>
          <w:rStyle w:val="CharacterStyle1"/>
          <w:rFonts w:ascii="Times New Roman" w:hAnsi="Times New Roman" w:cs="Times New Roman"/>
          <w:sz w:val="24"/>
          <w:szCs w:val="24"/>
        </w:rPr>
        <w:t xml:space="preserve">in reals. The 2002 elections led to uncertainty about the future of Brazilian policy, and </w:t>
      </w:r>
      <w:r w:rsidRPr="00125EB9">
        <w:rPr>
          <w:rStyle w:val="CharacterStyle1"/>
          <w:rFonts w:ascii="Times New Roman" w:hAnsi="Times New Roman" w:cs="Times New Roman"/>
          <w:spacing w:val="8"/>
          <w:sz w:val="24"/>
          <w:szCs w:val="24"/>
        </w:rPr>
        <w:t xml:space="preserve">many foreign companies withdrew their funds from the country. Brazil, a country </w:t>
      </w:r>
      <w:r w:rsidRPr="00125EB9">
        <w:rPr>
          <w:rStyle w:val="CharacterStyle1"/>
          <w:rFonts w:ascii="Times New Roman" w:hAnsi="Times New Roman" w:cs="Times New Roman"/>
          <w:spacing w:val="5"/>
          <w:sz w:val="24"/>
          <w:szCs w:val="24"/>
        </w:rPr>
        <w:t xml:space="preserve">once deeply dependent on foreign capital, was suddenly at the centre of a whirlpool </w:t>
      </w:r>
      <w:r w:rsidRPr="00125EB9">
        <w:rPr>
          <w:rStyle w:val="CharacterStyle1"/>
          <w:rFonts w:ascii="Times New Roman" w:hAnsi="Times New Roman" w:cs="Times New Roman"/>
          <w:spacing w:val="3"/>
          <w:sz w:val="24"/>
          <w:szCs w:val="24"/>
        </w:rPr>
        <w:t xml:space="preserve">of financial turmoil, which affected all of South America. At the beginning of the year, </w:t>
      </w:r>
      <w:r w:rsidRPr="00125EB9">
        <w:rPr>
          <w:rStyle w:val="CharacterStyle1"/>
          <w:rFonts w:ascii="Times New Roman" w:hAnsi="Times New Roman" w:cs="Times New Roman"/>
          <w:sz w:val="24"/>
          <w:szCs w:val="24"/>
        </w:rPr>
        <w:t xml:space="preserve">reals experienced a significant depreciation which was a severe financial shock to Gree Brazil. The exchange rate between dollars and reals, in early 2002, was about 1:2.1, but in June, it jumped to 1:3.2. The two figures mean that reals were devaluated by 35 per cent in only a few months. On the one hand, the continued devaluation heightened the </w:t>
      </w:r>
      <w:r w:rsidRPr="00125EB9">
        <w:rPr>
          <w:rStyle w:val="CharacterStyle1"/>
          <w:rFonts w:ascii="Times New Roman" w:hAnsi="Times New Roman" w:cs="Times New Roman"/>
          <w:spacing w:val="-1"/>
          <w:sz w:val="24"/>
          <w:szCs w:val="24"/>
        </w:rPr>
        <w:t xml:space="preserve">production cost of Gree Brazil. On the other its selling prices, calculated in dollars, came </w:t>
      </w:r>
      <w:r w:rsidRPr="00125EB9">
        <w:rPr>
          <w:rStyle w:val="CharacterStyle1"/>
          <w:rFonts w:ascii="Times New Roman" w:hAnsi="Times New Roman" w:cs="Times New Roman"/>
          <w:spacing w:val="5"/>
          <w:sz w:val="24"/>
          <w:szCs w:val="24"/>
        </w:rPr>
        <w:t xml:space="preserve">down. Production lines were still running, and parts continued to be imported from </w:t>
      </w:r>
      <w:r w:rsidRPr="00125EB9">
        <w:rPr>
          <w:rStyle w:val="CharacterStyle1"/>
          <w:rFonts w:ascii="Times New Roman" w:hAnsi="Times New Roman" w:cs="Times New Roman"/>
          <w:spacing w:val="3"/>
          <w:sz w:val="24"/>
          <w:szCs w:val="24"/>
        </w:rPr>
        <w:t xml:space="preserve">China, so if the exchange rate kept declining, the product prices would even be below </w:t>
      </w:r>
      <w:r w:rsidRPr="00125EB9">
        <w:rPr>
          <w:rStyle w:val="CharacterStyle1"/>
          <w:rFonts w:ascii="Times New Roman" w:hAnsi="Times New Roman" w:cs="Times New Roman"/>
          <w:sz w:val="24"/>
          <w:szCs w:val="24"/>
        </w:rPr>
        <w:t xml:space="preserve">their transportation cost in a month. In this period, the exchange rate fluctuated more than 10 per cent, sometimes as much as 20 per cent each month. Constant devaluation was a fatal shock to every importer. Several famous air conditioner companies stopped </w:t>
      </w:r>
      <w:r w:rsidRPr="00125EB9">
        <w:rPr>
          <w:rStyle w:val="CharacterStyle1"/>
          <w:rFonts w:ascii="Times New Roman" w:hAnsi="Times New Roman" w:cs="Times New Roman"/>
          <w:spacing w:val="-1"/>
          <w:sz w:val="24"/>
          <w:szCs w:val="24"/>
        </w:rPr>
        <w:t xml:space="preserve">their sales in the Brazilian market. Obviously, to continue selling meant a huge loss, but to cut and run meant giving up the achievements gained. Stick it out or give up? In order </w:t>
      </w:r>
      <w:r w:rsidRPr="00125EB9">
        <w:rPr>
          <w:rStyle w:val="CharacterStyle1"/>
          <w:rFonts w:ascii="Times New Roman" w:hAnsi="Times New Roman" w:cs="Times New Roman"/>
          <w:sz w:val="24"/>
          <w:szCs w:val="24"/>
        </w:rPr>
        <w:t xml:space="preserve">to make an accurate decision, the managers calculated the gains and the exchange rate carefully. Finally, they came to the conclusion that the exchange rate 1:4 would be the turning point - below this they would stop trading, above it, they would continue. The </w:t>
      </w:r>
      <w:r w:rsidRPr="00125EB9">
        <w:rPr>
          <w:rStyle w:val="CharacterStyle1"/>
          <w:rFonts w:ascii="Times New Roman" w:hAnsi="Times New Roman" w:cs="Times New Roman"/>
          <w:spacing w:val="-2"/>
          <w:sz w:val="24"/>
          <w:szCs w:val="24"/>
        </w:rPr>
        <w:t xml:space="preserve">election ended on 28th October, and the exchange rate fell to the warning line: 1:4. Faced </w:t>
      </w:r>
      <w:r w:rsidRPr="00125EB9">
        <w:rPr>
          <w:rStyle w:val="CharacterStyle1"/>
          <w:rFonts w:ascii="Times New Roman" w:hAnsi="Times New Roman" w:cs="Times New Roman"/>
          <w:spacing w:val="-1"/>
          <w:sz w:val="24"/>
          <w:szCs w:val="24"/>
        </w:rPr>
        <w:t xml:space="preserve">with this situation, Gree headquarters decided to give Gree Brazil another US$ 30 million </w:t>
      </w:r>
      <w:r w:rsidRPr="00125EB9">
        <w:rPr>
          <w:rStyle w:val="CharacterStyle1"/>
          <w:rFonts w:ascii="Times New Roman" w:hAnsi="Times New Roman" w:cs="Times New Roman"/>
          <w:spacing w:val="-2"/>
          <w:sz w:val="24"/>
          <w:szCs w:val="24"/>
        </w:rPr>
        <w:t xml:space="preserve">loss to keep expanding. Three months later, as international investors came to terms with </w:t>
      </w:r>
      <w:r w:rsidRPr="00125EB9">
        <w:rPr>
          <w:rStyle w:val="CharacterStyle1"/>
          <w:rFonts w:ascii="Times New Roman" w:hAnsi="Times New Roman" w:cs="Times New Roman"/>
          <w:sz w:val="24"/>
          <w:szCs w:val="24"/>
        </w:rPr>
        <w:t>the election result, currency exchange rates began to rise steadily. Gree Brazil used this opportunity to utilize its market share.</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5"/>
          <w:sz w:val="24"/>
          <w:szCs w:val="24"/>
        </w:rPr>
        <w:t xml:space="preserve">The distribution channel is a crucial factor to the success of foreign production. </w:t>
      </w:r>
      <w:r w:rsidRPr="00125EB9">
        <w:rPr>
          <w:rStyle w:val="CharacterStyle1"/>
          <w:rFonts w:ascii="Times New Roman" w:hAnsi="Times New Roman" w:cs="Times New Roman"/>
          <w:spacing w:val="3"/>
          <w:sz w:val="24"/>
          <w:szCs w:val="24"/>
        </w:rPr>
        <w:t xml:space="preserve">In 2002, Gree Brazil faced a crisis in this area due to unacceptable requests made by </w:t>
      </w:r>
      <w:r w:rsidRPr="00125EB9">
        <w:rPr>
          <w:rStyle w:val="CharacterStyle1"/>
          <w:rFonts w:ascii="Times New Roman" w:hAnsi="Times New Roman" w:cs="Times New Roman"/>
          <w:sz w:val="24"/>
          <w:szCs w:val="24"/>
        </w:rPr>
        <w:t xml:space="preserve">Gree Brazil's exclusive agents, who insisted on increasing the market selling price and </w:t>
      </w:r>
      <w:r w:rsidRPr="00125EB9">
        <w:rPr>
          <w:rStyle w:val="CharacterStyle1"/>
          <w:rFonts w:ascii="Times New Roman" w:hAnsi="Times New Roman" w:cs="Times New Roman"/>
          <w:spacing w:val="-1"/>
          <w:sz w:val="24"/>
          <w:szCs w:val="24"/>
        </w:rPr>
        <w:t xml:space="preserve">reducing the manufacturer's price at the same time. Being a young company, Gree Brazil </w:t>
      </w:r>
      <w:r w:rsidRPr="00125EB9">
        <w:rPr>
          <w:rStyle w:val="CharacterStyle1"/>
          <w:rFonts w:ascii="Times New Roman" w:hAnsi="Times New Roman" w:cs="Times New Roman"/>
          <w:sz w:val="24"/>
          <w:szCs w:val="24"/>
        </w:rPr>
        <w:t xml:space="preserve">depended deeply on its agents, had little negotiation power and had to agree with the agent's unreasonable request. However, a few days later, the agent came back and again requested price concessions that would have a damaging effect on Gree Brazil's profits. To resolve the issue as quickly as possible, Gree decided to hire this agent. However, in </w:t>
      </w:r>
      <w:r w:rsidRPr="00125EB9">
        <w:rPr>
          <w:rStyle w:val="CharacterStyle1"/>
          <w:rFonts w:ascii="Times New Roman" w:hAnsi="Times New Roman" w:cs="Times New Roman"/>
          <w:spacing w:val="-2"/>
          <w:sz w:val="24"/>
          <w:szCs w:val="24"/>
        </w:rPr>
        <w:t xml:space="preserve">the negotiation process Gree found that their trademark in the Brazilian market had been </w:t>
      </w:r>
      <w:r w:rsidRPr="00125EB9">
        <w:rPr>
          <w:rStyle w:val="CharacterStyle1"/>
          <w:rFonts w:ascii="Times New Roman" w:hAnsi="Times New Roman" w:cs="Times New Roman"/>
          <w:sz w:val="24"/>
          <w:szCs w:val="24"/>
        </w:rPr>
        <w:t xml:space="preserve">registered by the agent company. Ultimately they had to offer a higher price to buy back </w:t>
      </w:r>
      <w:r w:rsidRPr="00125EB9">
        <w:rPr>
          <w:rStyle w:val="CharacterStyle1"/>
          <w:rFonts w:ascii="Times New Roman" w:hAnsi="Times New Roman" w:cs="Times New Roman"/>
          <w:spacing w:val="-1"/>
          <w:sz w:val="24"/>
          <w:szCs w:val="24"/>
        </w:rPr>
        <w:t xml:space="preserve">the trademark and acquire the agent company. With this acquisition, Gree quickly set up </w:t>
      </w:r>
      <w:r w:rsidRPr="00125EB9">
        <w:rPr>
          <w:rStyle w:val="CharacterStyle1"/>
          <w:rFonts w:ascii="Times New Roman" w:hAnsi="Times New Roman" w:cs="Times New Roman"/>
          <w:sz w:val="24"/>
          <w:szCs w:val="24"/>
        </w:rPr>
        <w:t>its own sales channels and rapidly continued to develop them.</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Besides challenges from the social and cultural environment, Gree also faced many challenges in the Brazilian market. Brazil was a power-poor country, so the concept of </w:t>
      </w:r>
      <w:r w:rsidRPr="00125EB9">
        <w:rPr>
          <w:rStyle w:val="CharacterStyle1"/>
          <w:rFonts w:ascii="Times New Roman" w:hAnsi="Times New Roman" w:cs="Times New Roman"/>
          <w:spacing w:val="-2"/>
          <w:sz w:val="24"/>
          <w:szCs w:val="24"/>
        </w:rPr>
        <w:t xml:space="preserve">energy-saving is difficult. In the Chinese market, an air conditioner's energy consumption </w:t>
      </w:r>
      <w:r w:rsidRPr="00125EB9">
        <w:rPr>
          <w:rStyle w:val="CharacterStyle1"/>
          <w:rFonts w:ascii="Times New Roman" w:hAnsi="Times New Roman" w:cs="Times New Roman"/>
          <w:spacing w:val="2"/>
          <w:sz w:val="24"/>
          <w:szCs w:val="24"/>
        </w:rPr>
        <w:t>was measured by five levels</w:t>
      </w:r>
      <w:r w:rsidR="0087220B">
        <w:rPr>
          <w:rStyle w:val="CharacterStyle1"/>
          <w:rFonts w:ascii="Times New Roman" w:hAnsi="Times New Roman" w:cs="Times New Roman"/>
          <w:spacing w:val="2"/>
          <w:sz w:val="24"/>
          <w:szCs w:val="24"/>
        </w:rPr>
        <w:t xml:space="preserve"> </w:t>
      </w:r>
      <w:r w:rsidRPr="00125EB9">
        <w:rPr>
          <w:rStyle w:val="CharacterStyle1"/>
          <w:rFonts w:ascii="Times New Roman" w:hAnsi="Times New Roman" w:cs="Times New Roman"/>
          <w:spacing w:val="2"/>
          <w:sz w:val="24"/>
          <w:szCs w:val="24"/>
        </w:rPr>
        <w:t xml:space="preserve"> the entry threshold was grade 5. In the Brazilian market, </w:t>
      </w:r>
      <w:r w:rsidRPr="00125EB9">
        <w:rPr>
          <w:rStyle w:val="CharacterStyle1"/>
          <w:rFonts w:ascii="Times New Roman" w:hAnsi="Times New Roman" w:cs="Times New Roman"/>
          <w:spacing w:val="4"/>
          <w:sz w:val="24"/>
          <w:szCs w:val="24"/>
        </w:rPr>
        <w:t>the standard level was higher</w:t>
      </w:r>
      <w:r w:rsidR="0087220B">
        <w:rPr>
          <w:rStyle w:val="CharacterStyle1"/>
          <w:rFonts w:ascii="Times New Roman" w:hAnsi="Times New Roman" w:cs="Times New Roman"/>
          <w:spacing w:val="4"/>
          <w:sz w:val="24"/>
          <w:szCs w:val="24"/>
        </w:rPr>
        <w:t xml:space="preserve"> </w:t>
      </w:r>
      <w:r w:rsidRPr="00125EB9">
        <w:rPr>
          <w:rStyle w:val="CharacterStyle1"/>
          <w:rFonts w:ascii="Times New Roman" w:hAnsi="Times New Roman" w:cs="Times New Roman"/>
          <w:spacing w:val="4"/>
          <w:sz w:val="24"/>
          <w:szCs w:val="24"/>
        </w:rPr>
        <w:t xml:space="preserve"> its entry threshold level is 2.8 which is equal to grade </w:t>
      </w:r>
      <w:r w:rsidRPr="00125EB9">
        <w:rPr>
          <w:rStyle w:val="CharacterStyle1"/>
          <w:rFonts w:ascii="Times New Roman" w:hAnsi="Times New Roman" w:cs="Times New Roman"/>
          <w:sz w:val="24"/>
          <w:szCs w:val="24"/>
        </w:rPr>
        <w:t>4 in Chinese market. In these circumstances, Gree Brazil enhanced its advantages on R&amp;D to meet the demand, improving its product's energy consumption by 1 or 2 grades</w:t>
      </w:r>
      <w:r w:rsidR="00176C51">
        <w:rPr>
          <w:rStyle w:val="CharacterStyle1"/>
          <w:rFonts w:ascii="Times New Roman" w:hAnsi="Times New Roman" w:cs="Times New Roman"/>
          <w:sz w:val="24"/>
          <w:szCs w:val="24"/>
        </w:rPr>
        <w:t xml:space="preserve"> </w:t>
      </w:r>
      <w:r w:rsidRPr="00125EB9">
        <w:rPr>
          <w:rStyle w:val="CharacterStyle1"/>
          <w:rFonts w:ascii="Times New Roman" w:hAnsi="Times New Roman" w:cs="Times New Roman"/>
          <w:sz w:val="24"/>
          <w:szCs w:val="24"/>
        </w:rPr>
        <w:t xml:space="preserve">voluntarily. These efforts helped Gree Brazil achieve the best energy-saving products of the air </w:t>
      </w:r>
      <w:r w:rsidRPr="00125EB9">
        <w:rPr>
          <w:rStyle w:val="CharacterStyle1"/>
          <w:rFonts w:ascii="Times New Roman" w:hAnsi="Times New Roman" w:cs="Times New Roman"/>
          <w:sz w:val="24"/>
          <w:szCs w:val="24"/>
        </w:rPr>
        <w:lastRenderedPageBreak/>
        <w:t>conditioner industry for five consecutive years.</w:t>
      </w:r>
    </w:p>
    <w:p w:rsidR="009C6C85" w:rsidRPr="00176C51" w:rsidRDefault="00DD6EAB" w:rsidP="00883173">
      <w:pPr>
        <w:pStyle w:val="Style6"/>
        <w:tabs>
          <w:tab w:val="left" w:leader="underscore" w:pos="7797"/>
        </w:tabs>
        <w:adjustRightInd/>
        <w:spacing w:before="240" w:after="240"/>
        <w:rPr>
          <w:rStyle w:val="CharacterStyle1"/>
          <w:rFonts w:ascii="Tahoma" w:hAnsi="Tahoma" w:cs="Tahoma"/>
          <w:sz w:val="24"/>
          <w:szCs w:val="24"/>
        </w:rPr>
      </w:pPr>
      <w:r w:rsidRPr="00176C51">
        <w:rPr>
          <w:rStyle w:val="CharacterStyle1"/>
          <w:rFonts w:ascii="Tahoma" w:hAnsi="Tahoma" w:cs="Tahoma"/>
          <w:sz w:val="24"/>
          <w:szCs w:val="24"/>
        </w:rPr>
        <w:t>10.2.4 GREE'S FOREIGN PRODUCTION ENTRY MODE</w:t>
      </w:r>
    </w:p>
    <w:p w:rsidR="009C6C85" w:rsidRPr="00125EB9" w:rsidRDefault="00DD6EAB" w:rsidP="00883173">
      <w:pPr>
        <w:pStyle w:val="Style1"/>
        <w:tabs>
          <w:tab w:val="left" w:leader="underscore" w:pos="7797"/>
        </w:tabs>
        <w:adjustRightInd/>
        <w:jc w:val="both"/>
        <w:rPr>
          <w:sz w:val="24"/>
          <w:szCs w:val="24"/>
        </w:rPr>
      </w:pPr>
      <w:r w:rsidRPr="00125EB9">
        <w:rPr>
          <w:spacing w:val="-4"/>
          <w:sz w:val="24"/>
          <w:szCs w:val="24"/>
        </w:rPr>
        <w:t xml:space="preserve">With its successful investment in Brazil, Gree was invited by many AC distributors in India, </w:t>
      </w:r>
      <w:r w:rsidRPr="00125EB9">
        <w:rPr>
          <w:spacing w:val="4"/>
          <w:sz w:val="24"/>
          <w:szCs w:val="24"/>
        </w:rPr>
        <w:t xml:space="preserve">Turkey and other countries to invest in a local production facility. All of them offered </w:t>
      </w:r>
      <w:r w:rsidRPr="00125EB9">
        <w:rPr>
          <w:sz w:val="24"/>
          <w:szCs w:val="24"/>
        </w:rPr>
        <w:t>many favourable investment terms, but Gree refused the offers. Because the company thought those emerging markets were risky, the local production mode, especially a sole venture, is complex. Gree preferred to adopt flexible strategies, such as cooperation and licensing manufacturing.</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pacing w:val="3"/>
          <w:sz w:val="24"/>
          <w:szCs w:val="24"/>
        </w:rPr>
        <w:t xml:space="preserve">In March 2006, Gree launched another AC production foreign facility in Pakistan, </w:t>
      </w:r>
      <w:r w:rsidRPr="00125EB9">
        <w:rPr>
          <w:rStyle w:val="CharacterStyle1"/>
          <w:rFonts w:ascii="Times New Roman" w:hAnsi="Times New Roman" w:cs="Times New Roman"/>
          <w:sz w:val="24"/>
          <w:szCs w:val="24"/>
        </w:rPr>
        <w:t xml:space="preserve">one of the largest AC production bases in that country. The technology facilities needed </w:t>
      </w:r>
      <w:r w:rsidRPr="00125EB9">
        <w:rPr>
          <w:rStyle w:val="CharacterStyle1"/>
          <w:rFonts w:ascii="Times New Roman" w:hAnsi="Times New Roman" w:cs="Times New Roman"/>
          <w:spacing w:val="3"/>
          <w:sz w:val="24"/>
          <w:szCs w:val="24"/>
        </w:rPr>
        <w:t xml:space="preserve">were provided by Gree, but the facility was controlled by Digital World Pakistan (PVT) </w:t>
      </w:r>
      <w:r w:rsidRPr="00125EB9">
        <w:rPr>
          <w:rStyle w:val="CharacterStyle1"/>
          <w:rFonts w:ascii="Times New Roman" w:hAnsi="Times New Roman" w:cs="Times New Roman"/>
          <w:spacing w:val="4"/>
          <w:sz w:val="24"/>
          <w:szCs w:val="24"/>
        </w:rPr>
        <w:t xml:space="preserve">Ltd Company (DWP), the largest professional AC vendor in Pakistan. The production </w:t>
      </w:r>
      <w:r w:rsidRPr="00125EB9">
        <w:rPr>
          <w:rStyle w:val="CharacterStyle1"/>
          <w:rFonts w:ascii="Times New Roman" w:hAnsi="Times New Roman" w:cs="Times New Roman"/>
          <w:sz w:val="24"/>
          <w:szCs w:val="24"/>
        </w:rPr>
        <w:t xml:space="preserve">base was located in Lahore in the Punjab. The facility's annual production capacity is </w:t>
      </w:r>
      <w:r w:rsidRPr="00125EB9">
        <w:rPr>
          <w:rStyle w:val="CharacterStyle1"/>
          <w:rFonts w:ascii="Times New Roman" w:hAnsi="Times New Roman" w:cs="Times New Roman"/>
          <w:spacing w:val="-2"/>
          <w:sz w:val="24"/>
          <w:szCs w:val="24"/>
        </w:rPr>
        <w:t xml:space="preserve">more than 100,000 units, and all the production's brand is Gree. Gree Pakistan is funded </w:t>
      </w:r>
      <w:r w:rsidRPr="00125EB9">
        <w:rPr>
          <w:rStyle w:val="CharacterStyle1"/>
          <w:rFonts w:ascii="Times New Roman" w:hAnsi="Times New Roman" w:cs="Times New Roman"/>
          <w:sz w:val="24"/>
          <w:szCs w:val="24"/>
        </w:rPr>
        <w:t xml:space="preserve">entirely by DWP and all incomes are controlled by DWP: Gree do not enjoy any control </w:t>
      </w:r>
      <w:r w:rsidRPr="00125EB9">
        <w:rPr>
          <w:rStyle w:val="CharacterStyle1"/>
          <w:rFonts w:ascii="Times New Roman" w:hAnsi="Times New Roman" w:cs="Times New Roman"/>
          <w:spacing w:val="-1"/>
          <w:sz w:val="24"/>
          <w:szCs w:val="24"/>
        </w:rPr>
        <w:t xml:space="preserve">rights and incomes are only responsible for providing production lines, equipment, parts </w:t>
      </w:r>
      <w:r w:rsidRPr="00125EB9">
        <w:rPr>
          <w:rStyle w:val="CharacterStyle1"/>
          <w:rFonts w:ascii="Times New Roman" w:hAnsi="Times New Roman" w:cs="Times New Roman"/>
          <w:sz w:val="24"/>
          <w:szCs w:val="24"/>
        </w:rPr>
        <w:t xml:space="preserve">and technical support. If the facility reached its design capacity, Gree Pakistan would </w:t>
      </w:r>
      <w:r w:rsidRPr="00125EB9">
        <w:rPr>
          <w:rStyle w:val="CharacterStyle1"/>
          <w:rFonts w:ascii="Times New Roman" w:hAnsi="Times New Roman" w:cs="Times New Roman"/>
          <w:spacing w:val="-2"/>
          <w:sz w:val="24"/>
          <w:szCs w:val="24"/>
        </w:rPr>
        <w:t xml:space="preserve">capture 15 per cent of the market share in Pakistan and Gree Zhuhai, as a parts supplier, </w:t>
      </w:r>
      <w:r w:rsidRPr="00125EB9">
        <w:rPr>
          <w:rStyle w:val="CharacterStyle1"/>
          <w:rFonts w:ascii="Times New Roman" w:hAnsi="Times New Roman" w:cs="Times New Roman"/>
          <w:sz w:val="24"/>
          <w:szCs w:val="24"/>
        </w:rPr>
        <w:t>would get another US$ 20 million from selling parts every year.</w:t>
      </w:r>
    </w:p>
    <w:p w:rsidR="009C6C85" w:rsidRPr="00125EB9"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This kind of foreign market entry mode is licensing. Broadly, licensing is a type of </w:t>
      </w:r>
      <w:r w:rsidRPr="00125EB9">
        <w:rPr>
          <w:rStyle w:val="CharacterStyle1"/>
          <w:rFonts w:ascii="Times New Roman" w:hAnsi="Times New Roman" w:cs="Times New Roman"/>
          <w:spacing w:val="7"/>
          <w:sz w:val="24"/>
          <w:szCs w:val="24"/>
        </w:rPr>
        <w:t xml:space="preserve">non-equity entry mode, where a company in one country (the licensor) enters into </w:t>
      </w:r>
      <w:r w:rsidRPr="00125EB9">
        <w:rPr>
          <w:rStyle w:val="CharacterStyle1"/>
          <w:rFonts w:ascii="Times New Roman" w:hAnsi="Times New Roman" w:cs="Times New Roman"/>
          <w:sz w:val="24"/>
          <w:szCs w:val="24"/>
        </w:rPr>
        <w:t xml:space="preserve">a contractual agreement with a company or person in another country (the licensee) whereby the licensee is given the right to use something (for example, know-how, </w:t>
      </w:r>
      <w:r w:rsidRPr="00125EB9">
        <w:rPr>
          <w:rStyle w:val="CharacterStyle1"/>
          <w:rFonts w:ascii="Times New Roman" w:hAnsi="Times New Roman" w:cs="Times New Roman"/>
          <w:spacing w:val="3"/>
          <w:sz w:val="24"/>
          <w:szCs w:val="24"/>
        </w:rPr>
        <w:t xml:space="preserve">manufacturing processes, brand name and facility design) owned by the licensor (Pan </w:t>
      </w:r>
      <w:r w:rsidRPr="00125EB9">
        <w:rPr>
          <w:rStyle w:val="CharacterStyle1"/>
          <w:rFonts w:ascii="Times New Roman" w:hAnsi="Times New Roman" w:cs="Times New Roman"/>
          <w:spacing w:val="-3"/>
          <w:sz w:val="24"/>
          <w:szCs w:val="24"/>
        </w:rPr>
        <w:t xml:space="preserve">and Tse, 2000). In this case, control over operations and strategy is granted to the licensee </w:t>
      </w:r>
      <w:r w:rsidRPr="00125EB9">
        <w:rPr>
          <w:rStyle w:val="CharacterStyle1"/>
          <w:rFonts w:ascii="Times New Roman" w:hAnsi="Times New Roman" w:cs="Times New Roman"/>
          <w:sz w:val="24"/>
          <w:szCs w:val="24"/>
        </w:rPr>
        <w:t xml:space="preserve">in exchange for a lump-sum payment, a per-unit royalty fee, and a commitment to abide </w:t>
      </w:r>
      <w:r w:rsidRPr="00125EB9">
        <w:rPr>
          <w:rStyle w:val="CharacterStyle1"/>
          <w:rFonts w:ascii="Times New Roman" w:hAnsi="Times New Roman" w:cs="Times New Roman"/>
          <w:spacing w:val="-2"/>
          <w:sz w:val="24"/>
          <w:szCs w:val="24"/>
        </w:rPr>
        <w:t xml:space="preserve">by any terms set out in the licensing contract, and the licensee bears the costs of building </w:t>
      </w:r>
      <w:r w:rsidRPr="00125EB9">
        <w:rPr>
          <w:rStyle w:val="CharacterStyle1"/>
          <w:rFonts w:ascii="Times New Roman" w:hAnsi="Times New Roman" w:cs="Times New Roman"/>
          <w:spacing w:val="5"/>
          <w:sz w:val="24"/>
          <w:szCs w:val="24"/>
        </w:rPr>
        <w:t xml:space="preserve">up and serving the foreign market (Hill, Hwang and Kim, 1990). Also, in the case of </w:t>
      </w:r>
      <w:r w:rsidRPr="00125EB9">
        <w:rPr>
          <w:rStyle w:val="CharacterStyle1"/>
          <w:rFonts w:ascii="Times New Roman" w:hAnsi="Times New Roman" w:cs="Times New Roman"/>
          <w:sz w:val="24"/>
          <w:szCs w:val="24"/>
        </w:rPr>
        <w:t>licensing entry mode, there is the risk that firm specific advantages in know-how will be expropriated by a licensing or joint venture partner (Hill and Kim, 1988).</w:t>
      </w:r>
    </w:p>
    <w:p w:rsidR="009C6C85" w:rsidRDefault="00DD6EAB"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r w:rsidRPr="00125EB9">
        <w:rPr>
          <w:rStyle w:val="CharacterStyle1"/>
          <w:rFonts w:ascii="Times New Roman" w:hAnsi="Times New Roman" w:cs="Times New Roman"/>
          <w:sz w:val="24"/>
          <w:szCs w:val="24"/>
        </w:rPr>
        <w:t xml:space="preserve">Using this kind of cooperation, Gree was able to share the large investments needed </w:t>
      </w:r>
      <w:r w:rsidRPr="00125EB9">
        <w:rPr>
          <w:rStyle w:val="CharacterStyle1"/>
          <w:rFonts w:ascii="Times New Roman" w:hAnsi="Times New Roman" w:cs="Times New Roman"/>
          <w:spacing w:val="6"/>
          <w:sz w:val="24"/>
          <w:szCs w:val="24"/>
        </w:rPr>
        <w:t xml:space="preserve">for the foreign production, accelerating return on investment through a more rapid </w:t>
      </w:r>
      <w:r w:rsidRPr="00125EB9">
        <w:rPr>
          <w:rStyle w:val="CharacterStyle1"/>
          <w:rFonts w:ascii="Times New Roman" w:hAnsi="Times New Roman" w:cs="Times New Roman"/>
          <w:sz w:val="24"/>
          <w:szCs w:val="24"/>
        </w:rPr>
        <w:t>turnover on the firm's assets, spreading of risks and cooped the competition with DWP. Mr Zhu, the chairman of the Gree's directorate, said:</w:t>
      </w:r>
    </w:p>
    <w:p w:rsidR="00176C51" w:rsidRPr="00125EB9" w:rsidRDefault="00176C51" w:rsidP="00883173">
      <w:pPr>
        <w:pStyle w:val="Style7"/>
        <w:tabs>
          <w:tab w:val="left" w:leader="underscore" w:pos="7797"/>
        </w:tabs>
        <w:spacing w:line="240" w:lineRule="auto"/>
        <w:ind w:left="0" w:right="0"/>
        <w:rPr>
          <w:rStyle w:val="CharacterStyle1"/>
          <w:rFonts w:ascii="Times New Roman" w:hAnsi="Times New Roman" w:cs="Times New Roman"/>
          <w:sz w:val="24"/>
          <w:szCs w:val="24"/>
        </w:rPr>
      </w:pPr>
    </w:p>
    <w:p w:rsidR="00EE2BF6" w:rsidRDefault="00DD6EAB" w:rsidP="00883173">
      <w:pPr>
        <w:pStyle w:val="Style1"/>
        <w:tabs>
          <w:tab w:val="left" w:leader="underscore" w:pos="7797"/>
        </w:tabs>
        <w:adjustRightInd/>
        <w:ind w:left="270"/>
        <w:jc w:val="both"/>
        <w:rPr>
          <w:i/>
          <w:iCs/>
          <w:szCs w:val="24"/>
        </w:rPr>
      </w:pPr>
      <w:r w:rsidRPr="00176C51">
        <w:rPr>
          <w:i/>
          <w:iCs/>
          <w:spacing w:val="7"/>
          <w:szCs w:val="24"/>
        </w:rPr>
        <w:t xml:space="preserve">We feel unfamiliar with Pakistan market. However, as long as we invest in the same brand, </w:t>
      </w:r>
      <w:r w:rsidRPr="00176C51">
        <w:rPr>
          <w:i/>
          <w:iCs/>
          <w:spacing w:val="5"/>
          <w:szCs w:val="24"/>
        </w:rPr>
        <w:t xml:space="preserve">Gree, we will harvest much a few years later if we succeed in the Pakistan market. We should </w:t>
      </w:r>
      <w:r w:rsidRPr="00176C51">
        <w:rPr>
          <w:i/>
          <w:iCs/>
          <w:spacing w:val="4"/>
          <w:szCs w:val="24"/>
        </w:rPr>
        <w:t>develop step by step</w:t>
      </w:r>
      <w:r w:rsidR="00176C51" w:rsidRPr="00176C51">
        <w:rPr>
          <w:i/>
          <w:iCs/>
          <w:spacing w:val="4"/>
          <w:szCs w:val="24"/>
        </w:rPr>
        <w:t xml:space="preserve"> </w:t>
      </w:r>
      <w:r w:rsidRPr="00176C51">
        <w:rPr>
          <w:i/>
          <w:iCs/>
          <w:spacing w:val="4"/>
          <w:szCs w:val="24"/>
        </w:rPr>
        <w:t xml:space="preserve"> we may buy the facility and make it the second foreign production facility </w:t>
      </w:r>
      <w:r w:rsidRPr="00176C51">
        <w:rPr>
          <w:i/>
          <w:iCs/>
          <w:szCs w:val="24"/>
        </w:rPr>
        <w:t>of Gree.</w:t>
      </w:r>
    </w:p>
    <w:p w:rsidR="00EE2BF6" w:rsidRDefault="00EE2BF6">
      <w:pPr>
        <w:widowControl/>
        <w:autoSpaceDE/>
        <w:autoSpaceDN/>
        <w:adjustRightInd/>
        <w:spacing w:after="160" w:line="259" w:lineRule="auto"/>
        <w:rPr>
          <w:i/>
          <w:iCs/>
          <w:szCs w:val="24"/>
        </w:rPr>
      </w:pPr>
      <w:r>
        <w:rPr>
          <w:i/>
          <w:iCs/>
          <w:szCs w:val="24"/>
        </w:rPr>
        <w:br w:type="page"/>
      </w:r>
    </w:p>
    <w:p w:rsidR="00DE5088" w:rsidRDefault="00DE5088" w:rsidP="00883173">
      <w:pPr>
        <w:pStyle w:val="Style1"/>
        <w:tabs>
          <w:tab w:val="left" w:leader="underscore" w:pos="7797"/>
        </w:tabs>
        <w:adjustRightInd/>
        <w:ind w:left="270"/>
        <w:jc w:val="both"/>
        <w:rPr>
          <w:i/>
          <w:iCs/>
          <w:szCs w:val="24"/>
        </w:rPr>
      </w:pPr>
      <w:bookmarkStart w:id="2" w:name="_GoBack"/>
      <w:bookmarkEnd w:id="2"/>
    </w:p>
    <w:p w:rsidR="009C6C85" w:rsidRPr="00176C51" w:rsidRDefault="008A6F98" w:rsidP="00883173">
      <w:pPr>
        <w:pStyle w:val="Style4"/>
        <w:tabs>
          <w:tab w:val="left" w:leader="underscore" w:pos="7797"/>
        </w:tabs>
        <w:spacing w:line="240" w:lineRule="auto"/>
        <w:ind w:left="180" w:right="180" w:firstLine="0"/>
        <w:rPr>
          <w:rStyle w:val="CharacterStyle2"/>
          <w:rFonts w:ascii="Tahoma" w:hAnsi="Tahoma" w:cs="Tahoma"/>
          <w:b/>
          <w:bCs/>
          <w:sz w:val="24"/>
          <w:szCs w:val="24"/>
        </w:rPr>
      </w:pPr>
      <w:r w:rsidRPr="00176C51">
        <w:rPr>
          <w:rFonts w:ascii="Tahoma" w:hAnsi="Tahoma" w:cs="Tahoma"/>
          <w:b/>
          <w:bCs/>
          <w:noProof/>
          <w:sz w:val="24"/>
          <w:szCs w:val="24"/>
        </w:rPr>
        <mc:AlternateContent>
          <mc:Choice Requires="wps">
            <w:drawing>
              <wp:anchor distT="0" distB="0" distL="114300" distR="114300" simplePos="0" relativeHeight="251647488" behindDoc="0" locked="0" layoutInCell="1" allowOverlap="1" wp14:anchorId="459626B5" wp14:editId="2C57C93E">
                <wp:simplePos x="0" y="0"/>
                <wp:positionH relativeFrom="column">
                  <wp:posOffset>-140970</wp:posOffset>
                </wp:positionH>
                <wp:positionV relativeFrom="line">
                  <wp:posOffset>-135255</wp:posOffset>
                </wp:positionV>
                <wp:extent cx="5800725" cy="1215614"/>
                <wp:effectExtent l="0" t="0" r="28575" b="22860"/>
                <wp:wrapNone/>
                <wp:docPr id="6" name="Rectangle 6"/>
                <wp:cNvGraphicFramePr/>
                <a:graphic xmlns:a="http://schemas.openxmlformats.org/drawingml/2006/main">
                  <a:graphicData uri="http://schemas.microsoft.com/office/word/2010/wordprocessingShape">
                    <wps:wsp>
                      <wps:cNvSpPr/>
                      <wps:spPr>
                        <a:xfrm>
                          <a:off x="0" y="0"/>
                          <a:ext cx="5800725" cy="12156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A2A0D8" id="Rectangle 6" o:spid="_x0000_s1026" style="position:absolute;margin-left:-11.1pt;margin-top:-10.65pt;width:456.75pt;height:95.7pt;z-index:251647488;visibility:visible;mso-wrap-style:square;mso-width-percent:0;mso-wrap-distance-left:9pt;mso-wrap-distance-top:0;mso-wrap-distance-right:9pt;mso-wrap-distance-bottom:0;mso-position-horizontal:absolute;mso-position-horizontal-relative:text;mso-position-vertical:absolute;mso-position-vertical-relative:lin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" filled="f" strokecolor="black [3213]" strokeweight="1pt">
                <w10:wrap anchory="line"/>
              </v:rect>
            </w:pict>
          </mc:Fallback>
        </mc:AlternateContent>
      </w:r>
      <w:r w:rsidR="00DD6EAB" w:rsidRPr="00176C51">
        <w:rPr>
          <w:rStyle w:val="CharacterStyle2"/>
          <w:rFonts w:ascii="Tahoma" w:hAnsi="Tahoma" w:cs="Tahoma"/>
          <w:b/>
          <w:bCs/>
          <w:sz w:val="24"/>
          <w:szCs w:val="24"/>
        </w:rPr>
        <w:t>LESSON LEARNED</w:t>
      </w:r>
    </w:p>
    <w:p w:rsidR="009C6C85" w:rsidRPr="00176C51" w:rsidRDefault="00DD6EAB" w:rsidP="00883173">
      <w:pPr>
        <w:pStyle w:val="Style1"/>
        <w:tabs>
          <w:tab w:val="left" w:leader="underscore" w:pos="7797"/>
        </w:tabs>
        <w:adjustRightInd/>
        <w:spacing w:before="120" w:after="120"/>
        <w:ind w:left="180" w:right="180"/>
        <w:rPr>
          <w:rFonts w:ascii="Tahoma" w:hAnsi="Tahoma" w:cs="Tahoma"/>
          <w:b/>
          <w:bCs/>
          <w:sz w:val="22"/>
          <w:szCs w:val="24"/>
        </w:rPr>
      </w:pPr>
      <w:r w:rsidRPr="00176C51">
        <w:rPr>
          <w:rFonts w:ascii="Tahoma" w:hAnsi="Tahoma" w:cs="Tahoma"/>
          <w:b/>
          <w:bCs/>
          <w:sz w:val="22"/>
          <w:szCs w:val="24"/>
        </w:rPr>
        <w:t>A Chinese perspective on internationalization: be close to the customer</w:t>
      </w:r>
    </w:p>
    <w:p w:rsidR="009C6C85" w:rsidRPr="00176C51" w:rsidRDefault="00DD6EAB" w:rsidP="00883173">
      <w:pPr>
        <w:pStyle w:val="Style1"/>
        <w:tabs>
          <w:tab w:val="left" w:leader="underscore" w:pos="7797"/>
        </w:tabs>
        <w:adjustRightInd/>
        <w:ind w:left="180" w:right="180"/>
        <w:jc w:val="both"/>
        <w:rPr>
          <w:rFonts w:ascii="Tahoma" w:hAnsi="Tahoma" w:cs="Tahoma"/>
          <w:szCs w:val="24"/>
        </w:rPr>
      </w:pPr>
      <w:r w:rsidRPr="00176C51">
        <w:rPr>
          <w:rFonts w:ascii="Tahoma" w:hAnsi="Tahoma" w:cs="Tahoma"/>
          <w:spacing w:val="7"/>
          <w:szCs w:val="24"/>
        </w:rPr>
        <w:t xml:space="preserve">This case study describes the factors affecting Chinese manufacturing firms' choices </w:t>
      </w:r>
      <w:r w:rsidRPr="00176C51">
        <w:rPr>
          <w:rFonts w:ascii="Tahoma" w:hAnsi="Tahoma" w:cs="Tahoma"/>
          <w:spacing w:val="-1"/>
          <w:szCs w:val="24"/>
        </w:rPr>
        <w:t xml:space="preserve">concerning international market entry mode and the overseas facility location. A key success </w:t>
      </w:r>
      <w:r w:rsidRPr="00176C51">
        <w:rPr>
          <w:rFonts w:ascii="Tahoma" w:hAnsi="Tahoma" w:cs="Tahoma"/>
          <w:szCs w:val="24"/>
        </w:rPr>
        <w:t>factor is to be close to the customer.</w:t>
      </w:r>
    </w:p>
    <w:p w:rsidR="00176C51" w:rsidRDefault="00176C51" w:rsidP="00883173">
      <w:pPr>
        <w:pStyle w:val="Style1"/>
        <w:tabs>
          <w:tab w:val="left" w:leader="underscore" w:pos="7797"/>
        </w:tabs>
        <w:adjustRightInd/>
        <w:ind w:left="180" w:right="180"/>
        <w:rPr>
          <w:rFonts w:ascii="Tahoma" w:hAnsi="Tahoma" w:cs="Tahoma"/>
          <w:b/>
          <w:bCs/>
          <w:sz w:val="24"/>
          <w:szCs w:val="24"/>
        </w:rPr>
      </w:pPr>
    </w:p>
    <w:p w:rsidR="00176C51" w:rsidRDefault="00176C51" w:rsidP="00883173">
      <w:pPr>
        <w:pStyle w:val="Style1"/>
        <w:tabs>
          <w:tab w:val="left" w:leader="underscore" w:pos="7797"/>
        </w:tabs>
        <w:adjustRightInd/>
        <w:ind w:left="180" w:right="180"/>
        <w:rPr>
          <w:rFonts w:ascii="Tahoma" w:hAnsi="Tahoma" w:cs="Tahoma"/>
          <w:b/>
          <w:bCs/>
          <w:sz w:val="24"/>
          <w:szCs w:val="24"/>
        </w:rPr>
      </w:pPr>
      <w:r w:rsidRPr="00176C51">
        <w:rPr>
          <w:rFonts w:ascii="Tahoma" w:hAnsi="Tahoma" w:cs="Tahoma"/>
          <w:b/>
          <w:bCs/>
          <w:noProof/>
          <w:sz w:val="24"/>
          <w:szCs w:val="24"/>
        </w:rPr>
        <mc:AlternateContent>
          <mc:Choice Requires="wps">
            <w:drawing>
              <wp:anchor distT="0" distB="0" distL="114300" distR="114300" simplePos="0" relativeHeight="251652608" behindDoc="0" locked="0" layoutInCell="1" allowOverlap="1" wp14:anchorId="400884BC" wp14:editId="21D8E47C">
                <wp:simplePos x="0" y="0"/>
                <wp:positionH relativeFrom="margin">
                  <wp:posOffset>-140970</wp:posOffset>
                </wp:positionH>
                <wp:positionV relativeFrom="paragraph">
                  <wp:posOffset>168910</wp:posOffset>
                </wp:positionV>
                <wp:extent cx="5800725" cy="1990165"/>
                <wp:effectExtent l="0" t="0" r="28575" b="10160"/>
                <wp:wrapNone/>
                <wp:docPr id="7" name="Rectangle 7"/>
                <wp:cNvGraphicFramePr/>
                <a:graphic xmlns:a="http://schemas.openxmlformats.org/drawingml/2006/main">
                  <a:graphicData uri="http://schemas.microsoft.com/office/word/2010/wordprocessingShape">
                    <wps:wsp>
                      <wps:cNvSpPr/>
                      <wps:spPr>
                        <a:xfrm>
                          <a:off x="0" y="0"/>
                          <a:ext cx="5800725" cy="19901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8D8E06" id="Rectangle 7" o:spid="_x0000_s1026" style="position:absolute;margin-left:-11.1pt;margin-top:13.3pt;width:456.75pt;height:156.7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" filled="f" strokecolor="black [3213]" strokeweight="1pt">
                <w10:wrap anchorx="margin"/>
              </v:rect>
            </w:pict>
          </mc:Fallback>
        </mc:AlternateContent>
      </w:r>
    </w:p>
    <w:p w:rsidR="00176C51" w:rsidRDefault="00176C51" w:rsidP="00883173">
      <w:pPr>
        <w:pStyle w:val="Style1"/>
        <w:tabs>
          <w:tab w:val="left" w:leader="underscore" w:pos="7797"/>
        </w:tabs>
        <w:adjustRightInd/>
        <w:ind w:left="180" w:right="180"/>
        <w:rPr>
          <w:rFonts w:ascii="Tahoma" w:hAnsi="Tahoma" w:cs="Tahoma"/>
          <w:b/>
          <w:bCs/>
          <w:sz w:val="24"/>
          <w:szCs w:val="24"/>
        </w:rPr>
      </w:pPr>
    </w:p>
    <w:p w:rsidR="009C6C85" w:rsidRPr="00176C51" w:rsidRDefault="00DD6EAB" w:rsidP="00883173">
      <w:pPr>
        <w:pStyle w:val="Style1"/>
        <w:tabs>
          <w:tab w:val="left" w:leader="underscore" w:pos="7797"/>
        </w:tabs>
        <w:adjustRightInd/>
        <w:ind w:left="180" w:right="180"/>
        <w:rPr>
          <w:rFonts w:ascii="Tahoma" w:hAnsi="Tahoma" w:cs="Tahoma"/>
          <w:b/>
          <w:bCs/>
          <w:sz w:val="24"/>
          <w:szCs w:val="24"/>
        </w:rPr>
      </w:pPr>
      <w:r w:rsidRPr="00176C51">
        <w:rPr>
          <w:rFonts w:ascii="Tahoma" w:hAnsi="Tahoma" w:cs="Tahoma"/>
          <w:b/>
          <w:bCs/>
          <w:sz w:val="24"/>
          <w:szCs w:val="24"/>
        </w:rPr>
        <w:t>QUESTIONS FOR STUDENTS</w:t>
      </w:r>
    </w:p>
    <w:p w:rsidR="009C6C85" w:rsidRPr="00176C51" w:rsidRDefault="00DD6EAB" w:rsidP="00883173">
      <w:pPr>
        <w:pStyle w:val="Style4"/>
        <w:numPr>
          <w:ilvl w:val="0"/>
          <w:numId w:val="5"/>
        </w:numPr>
        <w:tabs>
          <w:tab w:val="clear" w:pos="432"/>
          <w:tab w:val="num" w:pos="851"/>
          <w:tab w:val="left" w:leader="underscore" w:pos="7797"/>
        </w:tabs>
        <w:spacing w:line="240" w:lineRule="auto"/>
        <w:ind w:left="630" w:right="180" w:hanging="401"/>
        <w:rPr>
          <w:rStyle w:val="CharacterStyle2"/>
          <w:rFonts w:ascii="Tahoma" w:hAnsi="Tahoma" w:cs="Tahoma"/>
          <w:sz w:val="20"/>
          <w:szCs w:val="24"/>
        </w:rPr>
      </w:pPr>
      <w:r w:rsidRPr="00176C51">
        <w:rPr>
          <w:rStyle w:val="CharacterStyle2"/>
          <w:rFonts w:ascii="Tahoma" w:hAnsi="Tahoma" w:cs="Tahoma"/>
          <w:sz w:val="20"/>
          <w:szCs w:val="24"/>
        </w:rPr>
        <w:t>What factors should be taken into account when locating a company in a foreign market?</w:t>
      </w:r>
    </w:p>
    <w:p w:rsidR="009C6C85" w:rsidRPr="00176C51" w:rsidRDefault="00DD6EAB" w:rsidP="00883173">
      <w:pPr>
        <w:pStyle w:val="Style4"/>
        <w:numPr>
          <w:ilvl w:val="0"/>
          <w:numId w:val="5"/>
        </w:numPr>
        <w:tabs>
          <w:tab w:val="clear" w:pos="432"/>
          <w:tab w:val="num" w:pos="851"/>
          <w:tab w:val="left" w:leader="underscore" w:pos="7797"/>
        </w:tabs>
        <w:spacing w:line="240" w:lineRule="auto"/>
        <w:ind w:left="630" w:right="180" w:hanging="401"/>
        <w:rPr>
          <w:rStyle w:val="CharacterStyle2"/>
          <w:rFonts w:ascii="Tahoma" w:hAnsi="Tahoma" w:cs="Tahoma"/>
          <w:sz w:val="20"/>
          <w:szCs w:val="24"/>
        </w:rPr>
      </w:pPr>
      <w:r w:rsidRPr="00176C51">
        <w:rPr>
          <w:rStyle w:val="CharacterStyle2"/>
          <w:rFonts w:ascii="Tahoma" w:hAnsi="Tahoma" w:cs="Tahoma"/>
          <w:sz w:val="20"/>
          <w:szCs w:val="24"/>
        </w:rPr>
        <w:t>How did Gree Brazil deal with its operational challenges?</w:t>
      </w:r>
    </w:p>
    <w:p w:rsidR="00176C51" w:rsidRDefault="00176C51" w:rsidP="00883173">
      <w:pPr>
        <w:pStyle w:val="Style1"/>
        <w:tabs>
          <w:tab w:val="left" w:leader="underscore" w:pos="7797"/>
        </w:tabs>
        <w:adjustRightInd/>
        <w:ind w:left="180" w:right="180"/>
        <w:rPr>
          <w:rFonts w:ascii="Tahoma" w:hAnsi="Tahoma" w:cs="Tahoma"/>
          <w:b/>
          <w:bCs/>
          <w:sz w:val="24"/>
          <w:szCs w:val="24"/>
        </w:rPr>
      </w:pPr>
    </w:p>
    <w:p w:rsidR="009C6C85" w:rsidRPr="00176C51" w:rsidRDefault="00DD6EAB" w:rsidP="00883173">
      <w:pPr>
        <w:pStyle w:val="Style1"/>
        <w:tabs>
          <w:tab w:val="left" w:leader="underscore" w:pos="7797"/>
        </w:tabs>
        <w:adjustRightInd/>
        <w:ind w:left="180" w:right="180"/>
        <w:rPr>
          <w:rFonts w:ascii="Tahoma" w:hAnsi="Tahoma" w:cs="Tahoma"/>
          <w:b/>
          <w:bCs/>
          <w:sz w:val="24"/>
          <w:szCs w:val="24"/>
        </w:rPr>
      </w:pPr>
      <w:r w:rsidRPr="00176C51">
        <w:rPr>
          <w:rFonts w:ascii="Tahoma" w:hAnsi="Tahoma" w:cs="Tahoma"/>
          <w:b/>
          <w:bCs/>
          <w:sz w:val="24"/>
          <w:szCs w:val="24"/>
        </w:rPr>
        <w:t>OPEN DISCUSSION</w:t>
      </w:r>
    </w:p>
    <w:p w:rsidR="009C6C85" w:rsidRPr="00176C51" w:rsidRDefault="00DD6EAB" w:rsidP="00883173">
      <w:pPr>
        <w:pStyle w:val="Style1"/>
        <w:numPr>
          <w:ilvl w:val="0"/>
          <w:numId w:val="6"/>
        </w:numPr>
        <w:tabs>
          <w:tab w:val="clear" w:pos="432"/>
          <w:tab w:val="num" w:pos="792"/>
          <w:tab w:val="left" w:leader="underscore" w:pos="7797"/>
        </w:tabs>
        <w:adjustRightInd/>
        <w:ind w:left="630" w:right="180"/>
        <w:rPr>
          <w:rFonts w:ascii="Tahoma" w:hAnsi="Tahoma" w:cs="Tahoma"/>
          <w:szCs w:val="24"/>
        </w:rPr>
      </w:pPr>
      <w:r w:rsidRPr="00176C51">
        <w:rPr>
          <w:rFonts w:ascii="Tahoma" w:hAnsi="Tahoma" w:cs="Tahoma"/>
          <w:szCs w:val="24"/>
        </w:rPr>
        <w:t>How would you deal with the management puzzles Gree Brazil faced?</w:t>
      </w:r>
    </w:p>
    <w:p w:rsidR="009C6C85" w:rsidRPr="00176C51" w:rsidRDefault="00DD6EAB" w:rsidP="00883173">
      <w:pPr>
        <w:pStyle w:val="Style1"/>
        <w:numPr>
          <w:ilvl w:val="0"/>
          <w:numId w:val="6"/>
        </w:numPr>
        <w:tabs>
          <w:tab w:val="clear" w:pos="432"/>
          <w:tab w:val="num" w:pos="792"/>
          <w:tab w:val="left" w:leader="underscore" w:pos="7797"/>
        </w:tabs>
        <w:adjustRightInd/>
        <w:ind w:left="630" w:right="180"/>
        <w:rPr>
          <w:rFonts w:ascii="Tahoma" w:hAnsi="Tahoma" w:cs="Tahoma"/>
          <w:szCs w:val="24"/>
        </w:rPr>
      </w:pPr>
      <w:r w:rsidRPr="00176C51">
        <w:rPr>
          <w:rFonts w:ascii="Tahoma" w:hAnsi="Tahoma" w:cs="Tahoma"/>
          <w:spacing w:val="-1"/>
          <w:szCs w:val="24"/>
        </w:rPr>
        <w:t xml:space="preserve">To serve the Pakistan market, which type of entry modes should Gree choose: licensing </w:t>
      </w:r>
      <w:r w:rsidRPr="00176C51">
        <w:rPr>
          <w:rFonts w:ascii="Tahoma" w:hAnsi="Tahoma" w:cs="Tahoma"/>
          <w:szCs w:val="24"/>
        </w:rPr>
        <w:t>manufacturing or the creation of a local production facility?</w:t>
      </w:r>
    </w:p>
    <w:p w:rsidR="00176C51" w:rsidRDefault="00176C51" w:rsidP="00883173">
      <w:pPr>
        <w:pStyle w:val="Style1"/>
        <w:tabs>
          <w:tab w:val="left" w:leader="underscore" w:pos="7797"/>
        </w:tabs>
        <w:adjustRightInd/>
        <w:rPr>
          <w:rFonts w:ascii="Tahoma" w:hAnsi="Tahoma" w:cs="Tahoma"/>
          <w:sz w:val="24"/>
          <w:szCs w:val="24"/>
        </w:rPr>
      </w:pPr>
    </w:p>
    <w:p w:rsidR="00176C51" w:rsidRDefault="00176C51" w:rsidP="00883173">
      <w:pPr>
        <w:pStyle w:val="Style1"/>
        <w:tabs>
          <w:tab w:val="left" w:leader="underscore" w:pos="7797"/>
        </w:tabs>
        <w:adjustRightInd/>
        <w:rPr>
          <w:rFonts w:ascii="Tahoma" w:hAnsi="Tahoma" w:cs="Tahoma"/>
          <w:sz w:val="24"/>
          <w:szCs w:val="24"/>
        </w:rPr>
      </w:pPr>
    </w:p>
    <w:p w:rsidR="00176C51" w:rsidRDefault="00176C51" w:rsidP="00883173">
      <w:pPr>
        <w:pStyle w:val="Style1"/>
        <w:tabs>
          <w:tab w:val="left" w:leader="underscore" w:pos="7797"/>
        </w:tabs>
        <w:adjustRightInd/>
        <w:rPr>
          <w:rFonts w:ascii="Tahoma" w:hAnsi="Tahoma" w:cs="Tahoma"/>
          <w:sz w:val="24"/>
          <w:szCs w:val="24"/>
        </w:rPr>
      </w:pPr>
    </w:p>
    <w:p w:rsidR="009C6C85" w:rsidRPr="00176C51" w:rsidRDefault="00DD6EAB" w:rsidP="00883173">
      <w:pPr>
        <w:pStyle w:val="Style1"/>
        <w:tabs>
          <w:tab w:val="left" w:leader="underscore" w:pos="7797"/>
        </w:tabs>
        <w:adjustRightInd/>
        <w:spacing w:before="360" w:after="240"/>
        <w:rPr>
          <w:rFonts w:ascii="Tahoma" w:hAnsi="Tahoma" w:cs="Tahoma"/>
          <w:sz w:val="24"/>
          <w:szCs w:val="24"/>
        </w:rPr>
      </w:pPr>
      <w:r w:rsidRPr="00176C51">
        <w:rPr>
          <w:rFonts w:ascii="Tahoma" w:hAnsi="Tahoma" w:cs="Tahoma"/>
          <w:sz w:val="24"/>
          <w:szCs w:val="24"/>
        </w:rPr>
        <w:t>Conclusion</w:t>
      </w:r>
    </w:p>
    <w:p w:rsidR="009C6C85" w:rsidRPr="00176C51" w:rsidRDefault="00DD6EAB" w:rsidP="00883173">
      <w:pPr>
        <w:pStyle w:val="Style1"/>
        <w:tabs>
          <w:tab w:val="left" w:leader="underscore" w:pos="7797"/>
        </w:tabs>
        <w:adjustRightInd/>
        <w:jc w:val="both"/>
        <w:rPr>
          <w:sz w:val="24"/>
          <w:szCs w:val="24"/>
        </w:rPr>
      </w:pPr>
      <w:r w:rsidRPr="00176C51">
        <w:rPr>
          <w:sz w:val="24"/>
          <w:szCs w:val="24"/>
        </w:rPr>
        <w:t xml:space="preserve">The foreign market entry mode and the factors for overseas location decisions are introduced in the case. Through the detailed introduction of Gree's case, the choice of </w:t>
      </w:r>
      <w:r w:rsidRPr="00176C51">
        <w:rPr>
          <w:spacing w:val="4"/>
          <w:sz w:val="24"/>
          <w:szCs w:val="24"/>
        </w:rPr>
        <w:t xml:space="preserve">location, foreign market entry mode and operational problems faced by the company </w:t>
      </w:r>
      <w:r w:rsidRPr="00176C51">
        <w:rPr>
          <w:sz w:val="24"/>
          <w:szCs w:val="24"/>
        </w:rPr>
        <w:t>and the suggested solutions for Chinese companies going abroad have been analysed, providing guidelines for managers when making internationalization decisions.</w:t>
      </w:r>
    </w:p>
    <w:p w:rsidR="009C6C85" w:rsidRPr="00176C51" w:rsidRDefault="00DD6EAB" w:rsidP="00883173">
      <w:pPr>
        <w:pStyle w:val="Style1"/>
        <w:tabs>
          <w:tab w:val="left" w:leader="underscore" w:pos="7797"/>
        </w:tabs>
        <w:adjustRightInd/>
        <w:spacing w:before="360" w:after="240"/>
        <w:rPr>
          <w:rFonts w:ascii="Tahoma" w:hAnsi="Tahoma" w:cs="Tahoma"/>
          <w:sz w:val="24"/>
          <w:szCs w:val="24"/>
        </w:rPr>
      </w:pPr>
      <w:r w:rsidRPr="00176C51">
        <w:rPr>
          <w:rFonts w:ascii="Tahoma" w:hAnsi="Tahoma" w:cs="Tahoma"/>
          <w:sz w:val="24"/>
          <w:szCs w:val="24"/>
        </w:rPr>
        <w:t>References</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Anderson, E. and Gatignon, H. (1986). Modes of foreign entry: a transaction cost analysis and proposition. </w:t>
      </w:r>
      <w:r w:rsidRPr="00176C51">
        <w:rPr>
          <w:rStyle w:val="CharacterStyle2"/>
          <w:rFonts w:ascii="Times New Roman" w:hAnsi="Times New Roman" w:cs="Times New Roman"/>
          <w:i/>
          <w:iCs/>
          <w:sz w:val="22"/>
          <w:szCs w:val="24"/>
        </w:rPr>
        <w:t xml:space="preserve">Journal of International Business Studies, </w:t>
      </w:r>
      <w:r w:rsidRPr="00176C51">
        <w:rPr>
          <w:rStyle w:val="CharacterStyle2"/>
          <w:rFonts w:ascii="Times New Roman" w:hAnsi="Times New Roman" w:cs="Times New Roman"/>
          <w:sz w:val="22"/>
          <w:szCs w:val="24"/>
        </w:rPr>
        <w:t>17(3), 1-26.</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Boddewyn, J. and Brewer, T. (1994). International business political behaviour: new theoretical direction. </w:t>
      </w:r>
      <w:r w:rsidRPr="00176C51">
        <w:rPr>
          <w:rStyle w:val="CharacterStyle2"/>
          <w:rFonts w:ascii="Times New Roman" w:hAnsi="Times New Roman" w:cs="Times New Roman"/>
          <w:i/>
          <w:iCs/>
          <w:sz w:val="22"/>
          <w:szCs w:val="24"/>
        </w:rPr>
        <w:t xml:space="preserve">Academy of Management Review, </w:t>
      </w:r>
      <w:r w:rsidRPr="00176C51">
        <w:rPr>
          <w:rStyle w:val="CharacterStyle2"/>
          <w:rFonts w:ascii="Times New Roman" w:hAnsi="Times New Roman" w:cs="Times New Roman"/>
          <w:sz w:val="22"/>
          <w:szCs w:val="24"/>
        </w:rPr>
        <w:t>19(2), 119-143.</w:t>
      </w:r>
    </w:p>
    <w:p w:rsidR="009C6C85" w:rsidRPr="00176C51" w:rsidRDefault="00DD6EAB" w:rsidP="00883173">
      <w:pPr>
        <w:pStyle w:val="Style4"/>
        <w:tabs>
          <w:tab w:val="left" w:leader="underscore" w:pos="7797"/>
        </w:tabs>
        <w:spacing w:line="240" w:lineRule="auto"/>
        <w:ind w:left="180" w:right="0" w:firstLine="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Bowersox, D.J. (1978). </w:t>
      </w:r>
      <w:r w:rsidRPr="00176C51">
        <w:rPr>
          <w:rStyle w:val="CharacterStyle2"/>
          <w:rFonts w:ascii="Times New Roman" w:hAnsi="Times New Roman" w:cs="Times New Roman"/>
          <w:i/>
          <w:iCs/>
          <w:sz w:val="22"/>
          <w:szCs w:val="24"/>
        </w:rPr>
        <w:t xml:space="preserve">Logistical Management, </w:t>
      </w:r>
      <w:r w:rsidRPr="00176C51">
        <w:rPr>
          <w:rStyle w:val="CharacterStyle2"/>
          <w:rFonts w:ascii="Times New Roman" w:hAnsi="Times New Roman" w:cs="Times New Roman"/>
          <w:sz w:val="22"/>
          <w:szCs w:val="24"/>
        </w:rPr>
        <w:t>2nd Edn. New York: Macmillan.</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Brouthers, K.D. (2002). Institutional culture and transaction cost influences on entry mode choice and performance. </w:t>
      </w:r>
      <w:r w:rsidRPr="00176C51">
        <w:rPr>
          <w:rStyle w:val="CharacterStyle2"/>
          <w:rFonts w:ascii="Times New Roman" w:hAnsi="Times New Roman" w:cs="Times New Roman"/>
          <w:i/>
          <w:iCs/>
          <w:sz w:val="22"/>
          <w:szCs w:val="24"/>
        </w:rPr>
        <w:t xml:space="preserve">Journal of International Business Studies, </w:t>
      </w:r>
      <w:r w:rsidRPr="00176C51">
        <w:rPr>
          <w:rStyle w:val="CharacterStyle2"/>
          <w:rFonts w:ascii="Times New Roman" w:hAnsi="Times New Roman" w:cs="Times New Roman"/>
          <w:sz w:val="22"/>
          <w:szCs w:val="24"/>
        </w:rPr>
        <w:t>33(2), 203-221.</w:t>
      </w:r>
    </w:p>
    <w:p w:rsidR="009C6C85" w:rsidRPr="00176C51" w:rsidRDefault="00DD6EAB" w:rsidP="00883173">
      <w:pPr>
        <w:pStyle w:val="Style1"/>
        <w:tabs>
          <w:tab w:val="left" w:leader="underscore" w:pos="7797"/>
        </w:tabs>
        <w:adjustRightInd/>
        <w:ind w:left="180" w:hanging="216"/>
        <w:jc w:val="both"/>
        <w:rPr>
          <w:sz w:val="22"/>
          <w:szCs w:val="24"/>
        </w:rPr>
      </w:pPr>
      <w:r w:rsidRPr="00176C51">
        <w:rPr>
          <w:spacing w:val="-1"/>
          <w:sz w:val="22"/>
          <w:szCs w:val="24"/>
        </w:rPr>
        <w:t xml:space="preserve">Buckley, P.J. and Casson, M. (1981). The optimal timing of a foreign direct investment. </w:t>
      </w:r>
      <w:r w:rsidRPr="00176C51">
        <w:rPr>
          <w:i/>
          <w:iCs/>
          <w:spacing w:val="-1"/>
          <w:sz w:val="22"/>
          <w:szCs w:val="24"/>
        </w:rPr>
        <w:t xml:space="preserve">The Economic </w:t>
      </w:r>
      <w:r w:rsidRPr="00176C51">
        <w:rPr>
          <w:i/>
          <w:iCs/>
          <w:sz w:val="22"/>
          <w:szCs w:val="24"/>
        </w:rPr>
        <w:t xml:space="preserve">Journal, </w:t>
      </w:r>
      <w:r w:rsidRPr="00176C51">
        <w:rPr>
          <w:sz w:val="22"/>
          <w:szCs w:val="24"/>
        </w:rPr>
        <w:t>91(361), 75-87.</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pacing w:val="-3"/>
          <w:sz w:val="22"/>
          <w:szCs w:val="24"/>
        </w:rPr>
        <w:t xml:space="preserve">Buckley, P.J., Newbould, G.D. and Thurwell, J.C. (1988). </w:t>
      </w:r>
      <w:r w:rsidRPr="00176C51">
        <w:rPr>
          <w:rStyle w:val="CharacterStyle2"/>
          <w:rFonts w:ascii="Times New Roman" w:hAnsi="Times New Roman" w:cs="Times New Roman"/>
          <w:i/>
          <w:iCs/>
          <w:spacing w:val="-3"/>
          <w:sz w:val="22"/>
          <w:szCs w:val="24"/>
        </w:rPr>
        <w:t xml:space="preserve">Foreign Direct Investment by Smaller UK Firms. </w:t>
      </w:r>
      <w:r w:rsidRPr="00176C51">
        <w:rPr>
          <w:rStyle w:val="CharacterStyle2"/>
          <w:rFonts w:ascii="Times New Roman" w:hAnsi="Times New Roman" w:cs="Times New Roman"/>
          <w:sz w:val="22"/>
          <w:szCs w:val="24"/>
        </w:rPr>
        <w:t>London: Macmillan.</w:t>
      </w:r>
    </w:p>
    <w:p w:rsidR="00DE5088"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Cavusgil, T. (1984). Differences among exporting firms based on the degree of internationalisation. </w:t>
      </w:r>
      <w:r w:rsidRPr="00176C51">
        <w:rPr>
          <w:rStyle w:val="CharacterStyle2"/>
          <w:rFonts w:ascii="Times New Roman" w:hAnsi="Times New Roman" w:cs="Times New Roman"/>
          <w:i/>
          <w:iCs/>
          <w:sz w:val="22"/>
          <w:szCs w:val="24"/>
        </w:rPr>
        <w:t xml:space="preserve">Journal of Business Science Research, </w:t>
      </w:r>
      <w:r w:rsidRPr="00176C51">
        <w:rPr>
          <w:rStyle w:val="CharacterStyle2"/>
          <w:rFonts w:ascii="Times New Roman" w:hAnsi="Times New Roman" w:cs="Times New Roman"/>
          <w:sz w:val="22"/>
          <w:szCs w:val="24"/>
        </w:rPr>
        <w:t>12(3), 195-208.</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Dunning, J.H. (2000). The eclectic paradigm as an envelope for economic and business theories of MNE activity. </w:t>
      </w:r>
      <w:r w:rsidRPr="00176C51">
        <w:rPr>
          <w:rStyle w:val="CharacterStyle2"/>
          <w:rFonts w:ascii="Times New Roman" w:hAnsi="Times New Roman" w:cs="Times New Roman"/>
          <w:i/>
          <w:iCs/>
          <w:sz w:val="22"/>
          <w:szCs w:val="24"/>
        </w:rPr>
        <w:t xml:space="preserve">International Business Review, 9(2), </w:t>
      </w:r>
      <w:r w:rsidRPr="00176C51">
        <w:rPr>
          <w:rStyle w:val="CharacterStyle2"/>
          <w:rFonts w:ascii="Times New Roman" w:hAnsi="Times New Roman" w:cs="Times New Roman"/>
          <w:sz w:val="22"/>
          <w:szCs w:val="24"/>
        </w:rPr>
        <w:t>163-190.</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z w:val="22"/>
          <w:szCs w:val="24"/>
        </w:rPr>
        <w:t xml:space="preserve">Dunning, J.H. (1998). Location and the multinational enterprise: a neglected factor? </w:t>
      </w:r>
      <w:r w:rsidRPr="00176C51">
        <w:rPr>
          <w:rStyle w:val="CharacterStyle3"/>
          <w:i/>
          <w:iCs/>
          <w:sz w:val="22"/>
          <w:szCs w:val="24"/>
        </w:rPr>
        <w:t xml:space="preserve">Journal of </w:t>
      </w:r>
      <w:r w:rsidRPr="00176C51">
        <w:rPr>
          <w:rStyle w:val="CharacterStyle3"/>
          <w:i/>
          <w:iCs/>
          <w:sz w:val="22"/>
          <w:szCs w:val="24"/>
        </w:rPr>
        <w:lastRenderedPageBreak/>
        <w:t xml:space="preserve">International Business Studies, </w:t>
      </w:r>
      <w:r w:rsidRPr="00176C51">
        <w:rPr>
          <w:rStyle w:val="CharacterStyle3"/>
          <w:sz w:val="22"/>
          <w:szCs w:val="24"/>
        </w:rPr>
        <w:t>29(1), 45-66.</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pacing w:val="-1"/>
          <w:sz w:val="22"/>
          <w:szCs w:val="24"/>
        </w:rPr>
        <w:t xml:space="preserve">Dunning, J.H. (1995). Reappraising the eclectic paradigm in an age of alliance capitalism. </w:t>
      </w:r>
      <w:r w:rsidRPr="00176C51">
        <w:rPr>
          <w:rStyle w:val="CharacterStyle3"/>
          <w:i/>
          <w:iCs/>
          <w:spacing w:val="-1"/>
          <w:sz w:val="22"/>
          <w:szCs w:val="24"/>
        </w:rPr>
        <w:t xml:space="preserve">Journal of </w:t>
      </w:r>
      <w:r w:rsidRPr="00176C51">
        <w:rPr>
          <w:rStyle w:val="CharacterStyle3"/>
          <w:i/>
          <w:iCs/>
          <w:sz w:val="22"/>
          <w:szCs w:val="24"/>
        </w:rPr>
        <w:t xml:space="preserve">International Business Studies, </w:t>
      </w:r>
      <w:r w:rsidRPr="00176C51">
        <w:rPr>
          <w:rStyle w:val="CharacterStyle3"/>
          <w:sz w:val="22"/>
          <w:szCs w:val="24"/>
        </w:rPr>
        <w:t>26 (3), 461-491.</w:t>
      </w:r>
    </w:p>
    <w:p w:rsidR="00176C51" w:rsidRPr="00176C51" w:rsidRDefault="00DD6EAB" w:rsidP="00883173">
      <w:pPr>
        <w:pStyle w:val="Style1"/>
        <w:tabs>
          <w:tab w:val="left" w:leader="underscore" w:pos="7797"/>
        </w:tabs>
        <w:adjustRightInd/>
        <w:ind w:left="180" w:hanging="180"/>
        <w:jc w:val="both"/>
        <w:rPr>
          <w:sz w:val="22"/>
          <w:szCs w:val="24"/>
        </w:rPr>
      </w:pPr>
      <w:r w:rsidRPr="00176C51">
        <w:rPr>
          <w:sz w:val="22"/>
          <w:szCs w:val="24"/>
        </w:rPr>
        <w:t xml:space="preserve">Dunning, J.H. (1993). </w:t>
      </w:r>
      <w:r w:rsidRPr="00176C51">
        <w:rPr>
          <w:i/>
          <w:iCs/>
          <w:sz w:val="22"/>
          <w:szCs w:val="24"/>
        </w:rPr>
        <w:t xml:space="preserve">Multinational Enterprises and the Global Economy. </w:t>
      </w:r>
      <w:r w:rsidRPr="00176C51">
        <w:rPr>
          <w:sz w:val="22"/>
          <w:szCs w:val="24"/>
        </w:rPr>
        <w:t xml:space="preserve">New York: Addison-Wesley. </w:t>
      </w:r>
    </w:p>
    <w:p w:rsidR="009C6C85" w:rsidRPr="00176C51" w:rsidRDefault="00DD6EAB" w:rsidP="00883173">
      <w:pPr>
        <w:pStyle w:val="Style1"/>
        <w:tabs>
          <w:tab w:val="left" w:leader="underscore" w:pos="7797"/>
        </w:tabs>
        <w:adjustRightInd/>
        <w:ind w:left="180" w:hanging="180"/>
        <w:jc w:val="both"/>
        <w:rPr>
          <w:sz w:val="22"/>
          <w:szCs w:val="24"/>
        </w:rPr>
      </w:pPr>
      <w:r w:rsidRPr="00176C51">
        <w:rPr>
          <w:sz w:val="22"/>
          <w:szCs w:val="24"/>
        </w:rPr>
        <w:t>Dunning, J.H. (1977). Trade, location of economic activity and the MNE: a search for an eclectic</w:t>
      </w:r>
    </w:p>
    <w:p w:rsidR="009C6C85" w:rsidRPr="00176C51" w:rsidRDefault="00DD6EAB" w:rsidP="00883173">
      <w:pPr>
        <w:pStyle w:val="Style5"/>
        <w:tabs>
          <w:tab w:val="left" w:leader="underscore" w:pos="7797"/>
        </w:tabs>
        <w:spacing w:line="240" w:lineRule="auto"/>
        <w:ind w:left="180" w:right="0" w:firstLine="0"/>
        <w:jc w:val="both"/>
        <w:rPr>
          <w:rStyle w:val="CharacterStyle3"/>
          <w:i/>
          <w:iCs/>
          <w:sz w:val="22"/>
          <w:szCs w:val="24"/>
        </w:rPr>
      </w:pPr>
      <w:r w:rsidRPr="00176C51">
        <w:rPr>
          <w:rStyle w:val="CharacterStyle3"/>
          <w:sz w:val="22"/>
          <w:szCs w:val="24"/>
        </w:rPr>
        <w:t xml:space="preserve">approach. In 0. Bertil et al. (Eds), </w:t>
      </w:r>
      <w:r w:rsidRPr="00176C51">
        <w:rPr>
          <w:rStyle w:val="CharacterStyle3"/>
          <w:i/>
          <w:iCs/>
          <w:sz w:val="22"/>
          <w:szCs w:val="24"/>
        </w:rPr>
        <w:t>The International Allocation of Economic Activity, Proceedings of</w:t>
      </w:r>
    </w:p>
    <w:p w:rsidR="009C6C85" w:rsidRPr="00176C51" w:rsidRDefault="00DD6EAB" w:rsidP="00883173">
      <w:pPr>
        <w:pStyle w:val="Style4"/>
        <w:tabs>
          <w:tab w:val="left" w:leader="underscore" w:pos="7797"/>
        </w:tabs>
        <w:spacing w:line="240" w:lineRule="auto"/>
        <w:ind w:left="180" w:right="0" w:firstLine="0"/>
        <w:jc w:val="both"/>
        <w:rPr>
          <w:rStyle w:val="CharacterStyle2"/>
          <w:rFonts w:ascii="Times New Roman" w:hAnsi="Times New Roman" w:cs="Times New Roman"/>
          <w:sz w:val="22"/>
          <w:szCs w:val="24"/>
        </w:rPr>
      </w:pPr>
      <w:r w:rsidRPr="00176C51">
        <w:rPr>
          <w:rStyle w:val="CharacterStyle2"/>
          <w:rFonts w:ascii="Times New Roman" w:hAnsi="Times New Roman" w:cs="Times New Roman"/>
          <w:i/>
          <w:iCs/>
          <w:sz w:val="22"/>
          <w:szCs w:val="24"/>
        </w:rPr>
        <w:t xml:space="preserve">Noble Symposium held in Stockholm. </w:t>
      </w:r>
      <w:r w:rsidRPr="00176C51">
        <w:rPr>
          <w:rStyle w:val="CharacterStyle2"/>
          <w:rFonts w:ascii="Times New Roman" w:hAnsi="Times New Roman" w:cs="Times New Roman"/>
          <w:sz w:val="22"/>
          <w:szCs w:val="24"/>
        </w:rPr>
        <w:t>London: Macmillan.</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z w:val="22"/>
          <w:szCs w:val="24"/>
        </w:rPr>
        <w:t xml:space="preserve">Eden, L. (1994). Location strategies of U.S. multinationals. In Eden, Lorraine (Ed.), </w:t>
      </w:r>
      <w:r w:rsidRPr="00176C51">
        <w:rPr>
          <w:rStyle w:val="CharacterStyle3"/>
          <w:i/>
          <w:iCs/>
          <w:sz w:val="22"/>
          <w:szCs w:val="24"/>
        </w:rPr>
        <w:t xml:space="preserve">Multinationals in North America, </w:t>
      </w:r>
      <w:r w:rsidRPr="00176C51">
        <w:rPr>
          <w:rStyle w:val="CharacterStyle3"/>
          <w:sz w:val="22"/>
          <w:szCs w:val="24"/>
        </w:rPr>
        <w:t>Calgary: The University of Calgary Press, pp. 193-252.</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Erramilli, M.K. and Rao, C.P. (1990). Choice of foreign market entry modes by service firms: role of market knowledge. </w:t>
      </w:r>
      <w:r w:rsidRPr="00176C51">
        <w:rPr>
          <w:rStyle w:val="CharacterStyle2"/>
          <w:rFonts w:ascii="Times New Roman" w:hAnsi="Times New Roman" w:cs="Times New Roman"/>
          <w:i/>
          <w:iCs/>
          <w:sz w:val="22"/>
          <w:szCs w:val="24"/>
        </w:rPr>
        <w:t xml:space="preserve">Management International Review, </w:t>
      </w:r>
      <w:r w:rsidRPr="00176C51">
        <w:rPr>
          <w:rStyle w:val="CharacterStyle2"/>
          <w:rFonts w:ascii="Times New Roman" w:hAnsi="Times New Roman" w:cs="Times New Roman"/>
          <w:sz w:val="22"/>
          <w:szCs w:val="24"/>
        </w:rPr>
        <w:t>30(2), 135-150.</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z w:val="22"/>
          <w:szCs w:val="24"/>
        </w:rPr>
        <w:t xml:space="preserve">Haigh, R.W. (1989). </w:t>
      </w:r>
      <w:r w:rsidRPr="00176C51">
        <w:rPr>
          <w:rStyle w:val="CharacterStyle3"/>
          <w:i/>
          <w:iCs/>
          <w:sz w:val="22"/>
          <w:szCs w:val="24"/>
        </w:rPr>
        <w:t xml:space="preserve">Investment Strategies and the Plant Location Decision: Foreign Companies in the United States. </w:t>
      </w:r>
      <w:r w:rsidRPr="00176C51">
        <w:rPr>
          <w:rStyle w:val="CharacterStyle3"/>
          <w:sz w:val="22"/>
          <w:szCs w:val="24"/>
        </w:rPr>
        <w:t>New York: Praeger.</w:t>
      </w:r>
    </w:p>
    <w:p w:rsidR="009C6C85" w:rsidRPr="00176C51" w:rsidRDefault="00DD6EAB" w:rsidP="00883173">
      <w:pPr>
        <w:pStyle w:val="Style1"/>
        <w:tabs>
          <w:tab w:val="left" w:leader="underscore" w:pos="7797"/>
        </w:tabs>
        <w:adjustRightInd/>
        <w:ind w:left="180" w:hanging="216"/>
        <w:jc w:val="both"/>
        <w:rPr>
          <w:sz w:val="22"/>
          <w:szCs w:val="24"/>
        </w:rPr>
      </w:pPr>
      <w:r w:rsidRPr="00176C51">
        <w:rPr>
          <w:spacing w:val="7"/>
          <w:sz w:val="22"/>
          <w:szCs w:val="24"/>
        </w:rPr>
        <w:t xml:space="preserve">Herzog, H.W. Jr and Schlottmann, A.M. (1991). Metropolitan dimensions of high technology </w:t>
      </w:r>
      <w:r w:rsidRPr="00176C51">
        <w:rPr>
          <w:sz w:val="22"/>
          <w:szCs w:val="24"/>
        </w:rPr>
        <w:t xml:space="preserve">location in the U.S. In Herzog, H.W. Jr and Schlottmann, A.M. (Eds), </w:t>
      </w:r>
      <w:r w:rsidRPr="00176C51">
        <w:rPr>
          <w:i/>
          <w:iCs/>
          <w:sz w:val="22"/>
          <w:szCs w:val="24"/>
        </w:rPr>
        <w:t xml:space="preserve">Industry Location and Public Policy, </w:t>
      </w:r>
      <w:r w:rsidRPr="00176C51">
        <w:rPr>
          <w:sz w:val="22"/>
          <w:szCs w:val="24"/>
        </w:rPr>
        <w:t>Knoxville: The University of Tennessee Press, pp. 169-189.</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z w:val="22"/>
          <w:szCs w:val="24"/>
        </w:rPr>
        <w:t xml:space="preserve">Hill, C.W.L., Hwang, P. and Kim, W.C. (1990). An eclectic theory of the choice of international entry mode. </w:t>
      </w:r>
      <w:r w:rsidRPr="00176C51">
        <w:rPr>
          <w:rStyle w:val="CharacterStyle2"/>
          <w:rFonts w:ascii="Times New Roman" w:hAnsi="Times New Roman" w:cs="Times New Roman"/>
          <w:i/>
          <w:iCs/>
          <w:sz w:val="22"/>
          <w:szCs w:val="24"/>
        </w:rPr>
        <w:t xml:space="preserve">Strategic Management Journal, </w:t>
      </w:r>
      <w:r w:rsidRPr="00176C51">
        <w:rPr>
          <w:rStyle w:val="CharacterStyle2"/>
          <w:rFonts w:ascii="Times New Roman" w:hAnsi="Times New Roman" w:cs="Times New Roman"/>
          <w:sz w:val="22"/>
          <w:szCs w:val="24"/>
        </w:rPr>
        <w:t>11(2), 117-128.</w:t>
      </w:r>
    </w:p>
    <w:p w:rsidR="009C6C85" w:rsidRPr="00176C51" w:rsidRDefault="00DD6EAB" w:rsidP="00883173">
      <w:pPr>
        <w:pStyle w:val="Style1"/>
        <w:tabs>
          <w:tab w:val="left" w:leader="underscore" w:pos="7797"/>
        </w:tabs>
        <w:adjustRightInd/>
        <w:ind w:left="180"/>
        <w:jc w:val="both"/>
        <w:rPr>
          <w:sz w:val="22"/>
          <w:szCs w:val="24"/>
        </w:rPr>
      </w:pPr>
      <w:r w:rsidRPr="00176C51">
        <w:rPr>
          <w:spacing w:val="-1"/>
          <w:sz w:val="22"/>
          <w:szCs w:val="24"/>
        </w:rPr>
        <w:t xml:space="preserve">Hill, C.W.L. and Kim, W.C. (1988). Searching for a dynamic theory of the multinational enterprise: a </w:t>
      </w:r>
      <w:r w:rsidRPr="00176C51">
        <w:rPr>
          <w:sz w:val="22"/>
          <w:szCs w:val="24"/>
        </w:rPr>
        <w:t xml:space="preserve">transaction cost model. </w:t>
      </w:r>
      <w:r w:rsidRPr="00176C51">
        <w:rPr>
          <w:i/>
          <w:iCs/>
          <w:sz w:val="22"/>
          <w:szCs w:val="24"/>
        </w:rPr>
        <w:t xml:space="preserve">Strategic Management Journal, </w:t>
      </w:r>
      <w:r w:rsidRPr="00176C51">
        <w:rPr>
          <w:sz w:val="22"/>
          <w:szCs w:val="24"/>
        </w:rPr>
        <w:t>9(Special Issue), 93-194.</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pacing w:val="-1"/>
          <w:sz w:val="22"/>
          <w:szCs w:val="24"/>
        </w:rPr>
        <w:t xml:space="preserve">Johanson, J. and Vahlne, J.E. (1990). The mechanism of internationalization. </w:t>
      </w:r>
      <w:r w:rsidRPr="00176C51">
        <w:rPr>
          <w:rStyle w:val="CharacterStyle3"/>
          <w:i/>
          <w:iCs/>
          <w:spacing w:val="-1"/>
          <w:sz w:val="22"/>
          <w:szCs w:val="24"/>
        </w:rPr>
        <w:t xml:space="preserve">International Marketing </w:t>
      </w:r>
      <w:r w:rsidRPr="00176C51">
        <w:rPr>
          <w:rStyle w:val="CharacterStyle3"/>
          <w:i/>
          <w:iCs/>
          <w:sz w:val="22"/>
          <w:szCs w:val="24"/>
        </w:rPr>
        <w:t xml:space="preserve">Review, 7(4), </w:t>
      </w:r>
      <w:r w:rsidRPr="00176C51">
        <w:rPr>
          <w:rStyle w:val="CharacterStyle3"/>
          <w:sz w:val="22"/>
          <w:szCs w:val="24"/>
        </w:rPr>
        <w:t>11-24.</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pacing w:val="-2"/>
          <w:sz w:val="22"/>
          <w:szCs w:val="24"/>
        </w:rPr>
        <w:t xml:space="preserve">Johanson, J. and Wiedersheim, P.F. (1975). The internationalization of the firm - four Swedish cases. </w:t>
      </w:r>
      <w:r w:rsidRPr="00176C51">
        <w:rPr>
          <w:rStyle w:val="CharacterStyle2"/>
          <w:rFonts w:ascii="Times New Roman" w:hAnsi="Times New Roman" w:cs="Times New Roman"/>
          <w:i/>
          <w:iCs/>
          <w:sz w:val="22"/>
          <w:szCs w:val="24"/>
        </w:rPr>
        <w:t xml:space="preserve">Journal of Management Studies, </w:t>
      </w:r>
      <w:r w:rsidRPr="00176C51">
        <w:rPr>
          <w:rStyle w:val="CharacterStyle2"/>
          <w:rFonts w:ascii="Times New Roman" w:hAnsi="Times New Roman" w:cs="Times New Roman"/>
          <w:sz w:val="22"/>
          <w:szCs w:val="24"/>
        </w:rPr>
        <w:t>12(3), 305-322.</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z w:val="22"/>
          <w:szCs w:val="24"/>
        </w:rPr>
        <w:t xml:space="preserve">Kim, C.W. and Hwang, P. (1992). Global strategy and multinationals' entry mode choice. </w:t>
      </w:r>
      <w:r w:rsidRPr="00176C51">
        <w:rPr>
          <w:rStyle w:val="CharacterStyle3"/>
          <w:i/>
          <w:iCs/>
          <w:sz w:val="22"/>
          <w:szCs w:val="24"/>
        </w:rPr>
        <w:t xml:space="preserve">Journal of International Business Studies, 3(1), </w:t>
      </w:r>
      <w:r w:rsidRPr="00176C51">
        <w:rPr>
          <w:rStyle w:val="CharacterStyle3"/>
          <w:sz w:val="22"/>
          <w:szCs w:val="24"/>
        </w:rPr>
        <w:t>29-53.</w:t>
      </w:r>
    </w:p>
    <w:p w:rsidR="009C6C85" w:rsidRPr="00176C51" w:rsidRDefault="00DD6EAB" w:rsidP="00883173">
      <w:pPr>
        <w:pStyle w:val="Style1"/>
        <w:tabs>
          <w:tab w:val="left" w:leader="underscore" w:pos="7797"/>
        </w:tabs>
        <w:adjustRightInd/>
        <w:ind w:left="180" w:hanging="216"/>
        <w:jc w:val="both"/>
        <w:rPr>
          <w:sz w:val="22"/>
          <w:szCs w:val="24"/>
        </w:rPr>
      </w:pPr>
      <w:r w:rsidRPr="00176C51">
        <w:rPr>
          <w:sz w:val="22"/>
          <w:szCs w:val="24"/>
        </w:rPr>
        <w:t xml:space="preserve">MacCarthy, B.L. and Atthirawong, W. (2003). Factors affecting location decisions in international operations - a Delphi study. </w:t>
      </w:r>
      <w:r w:rsidRPr="00176C51">
        <w:rPr>
          <w:i/>
          <w:iCs/>
          <w:sz w:val="22"/>
          <w:szCs w:val="24"/>
        </w:rPr>
        <w:t xml:space="preserve">International Journal of Operations &amp; Production Management, </w:t>
      </w:r>
      <w:r w:rsidRPr="00176C51">
        <w:rPr>
          <w:sz w:val="22"/>
          <w:szCs w:val="24"/>
        </w:rPr>
        <w:t>23(7), 794-818.</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z w:val="22"/>
          <w:szCs w:val="24"/>
        </w:rPr>
        <w:t xml:space="preserve">Pan, Y. and Tse, D.K. (2000). The hierarchical model of market entry modes. </w:t>
      </w:r>
      <w:r w:rsidRPr="00176C51">
        <w:rPr>
          <w:rStyle w:val="CharacterStyle3"/>
          <w:i/>
          <w:iCs/>
          <w:sz w:val="22"/>
          <w:szCs w:val="24"/>
        </w:rPr>
        <w:t xml:space="preserve">Journal of International Business Studies, </w:t>
      </w:r>
      <w:r w:rsidRPr="00176C51">
        <w:rPr>
          <w:rStyle w:val="CharacterStyle3"/>
          <w:sz w:val="22"/>
          <w:szCs w:val="24"/>
        </w:rPr>
        <w:t>31(4), 535-554.</w:t>
      </w:r>
    </w:p>
    <w:p w:rsidR="00D92C64" w:rsidRDefault="00DD6EAB" w:rsidP="00883173">
      <w:pPr>
        <w:pStyle w:val="Style5"/>
        <w:tabs>
          <w:tab w:val="left" w:leader="underscore" w:pos="7797"/>
        </w:tabs>
        <w:spacing w:line="240" w:lineRule="auto"/>
        <w:ind w:left="180" w:right="0"/>
        <w:jc w:val="both"/>
        <w:rPr>
          <w:sz w:val="22"/>
          <w:szCs w:val="24"/>
        </w:rPr>
      </w:pPr>
      <w:r w:rsidRPr="00176C51">
        <w:rPr>
          <w:rStyle w:val="CharacterStyle3"/>
          <w:sz w:val="22"/>
          <w:szCs w:val="24"/>
        </w:rPr>
        <w:t>Peng, M.W. and Wang, D.Y. (2000). Foreign direct investment in the innovation driven stage:</w:t>
      </w:r>
      <w:r w:rsidR="00D92C64">
        <w:rPr>
          <w:rStyle w:val="CharacterStyle3"/>
          <w:sz w:val="22"/>
          <w:szCs w:val="24"/>
        </w:rPr>
        <w:t xml:space="preserve"> </w:t>
      </w:r>
      <w:r w:rsidRPr="00176C51">
        <w:rPr>
          <w:rStyle w:val="CharacterStyle3"/>
          <w:sz w:val="22"/>
          <w:szCs w:val="24"/>
        </w:rPr>
        <w:t>toward a learning option perspective. Management International Review, 40(Special Issue),</w:t>
      </w:r>
      <w:r w:rsidRPr="00176C51">
        <w:rPr>
          <w:sz w:val="22"/>
          <w:szCs w:val="24"/>
        </w:rPr>
        <w:t xml:space="preserve"> 79-93. </w:t>
      </w:r>
    </w:p>
    <w:p w:rsidR="009C6C85" w:rsidRPr="00176C51" w:rsidRDefault="00DD6EAB" w:rsidP="00883173">
      <w:pPr>
        <w:pStyle w:val="Style5"/>
        <w:tabs>
          <w:tab w:val="left" w:leader="underscore" w:pos="7797"/>
        </w:tabs>
        <w:spacing w:line="240" w:lineRule="auto"/>
        <w:ind w:left="180" w:right="0"/>
        <w:jc w:val="both"/>
        <w:rPr>
          <w:sz w:val="22"/>
          <w:szCs w:val="24"/>
        </w:rPr>
      </w:pPr>
      <w:r w:rsidRPr="00D92C64">
        <w:rPr>
          <w:i w:val="0"/>
          <w:sz w:val="22"/>
          <w:szCs w:val="24"/>
        </w:rPr>
        <w:t>Rasheed, H.S. (2005).</w:t>
      </w:r>
      <w:r w:rsidRPr="00176C51">
        <w:rPr>
          <w:sz w:val="22"/>
          <w:szCs w:val="24"/>
        </w:rPr>
        <w:t xml:space="preserve"> Foreign entry mode and performance: the moderating effects of environment.</w:t>
      </w:r>
    </w:p>
    <w:p w:rsidR="009C6C85" w:rsidRPr="00176C51" w:rsidRDefault="00DD6EAB" w:rsidP="00883173">
      <w:pPr>
        <w:pStyle w:val="Style4"/>
        <w:tabs>
          <w:tab w:val="left" w:leader="underscore" w:pos="7797"/>
        </w:tabs>
        <w:spacing w:line="240" w:lineRule="auto"/>
        <w:ind w:left="180" w:right="0" w:firstLine="0"/>
        <w:jc w:val="both"/>
        <w:rPr>
          <w:rStyle w:val="CharacterStyle2"/>
          <w:rFonts w:ascii="Times New Roman" w:hAnsi="Times New Roman" w:cs="Times New Roman"/>
          <w:sz w:val="22"/>
          <w:szCs w:val="24"/>
        </w:rPr>
      </w:pPr>
      <w:r w:rsidRPr="00176C51">
        <w:rPr>
          <w:rStyle w:val="CharacterStyle2"/>
          <w:rFonts w:ascii="Times New Roman" w:hAnsi="Times New Roman" w:cs="Times New Roman"/>
          <w:i/>
          <w:iCs/>
          <w:sz w:val="22"/>
          <w:szCs w:val="24"/>
        </w:rPr>
        <w:t xml:space="preserve">Journal of Small Business Management, </w:t>
      </w:r>
      <w:r w:rsidRPr="00176C51">
        <w:rPr>
          <w:rStyle w:val="CharacterStyle2"/>
          <w:rFonts w:ascii="Times New Roman" w:hAnsi="Times New Roman" w:cs="Times New Roman"/>
          <w:sz w:val="22"/>
          <w:szCs w:val="24"/>
        </w:rPr>
        <w:t>43(1), 41-54.</w:t>
      </w:r>
    </w:p>
    <w:p w:rsidR="009C6C85" w:rsidRPr="00176C51" w:rsidRDefault="00DD6EAB" w:rsidP="00883173">
      <w:pPr>
        <w:pStyle w:val="Style1"/>
        <w:tabs>
          <w:tab w:val="left" w:leader="underscore" w:pos="7797"/>
        </w:tabs>
        <w:adjustRightInd/>
        <w:ind w:left="180" w:hanging="180"/>
        <w:jc w:val="both"/>
        <w:rPr>
          <w:sz w:val="22"/>
          <w:szCs w:val="24"/>
        </w:rPr>
      </w:pPr>
      <w:r w:rsidRPr="00176C51">
        <w:rPr>
          <w:sz w:val="22"/>
          <w:szCs w:val="24"/>
        </w:rPr>
        <w:t xml:space="preserve">Root, F.R. (1987). </w:t>
      </w:r>
      <w:r w:rsidRPr="00176C51">
        <w:rPr>
          <w:i/>
          <w:iCs/>
          <w:sz w:val="22"/>
          <w:szCs w:val="24"/>
        </w:rPr>
        <w:t xml:space="preserve">Entry Strategies for International Markets. </w:t>
      </w:r>
      <w:r w:rsidRPr="00176C51">
        <w:rPr>
          <w:sz w:val="22"/>
          <w:szCs w:val="24"/>
        </w:rPr>
        <w:t>Lexington, MA: D.C. Health.</w:t>
      </w:r>
    </w:p>
    <w:p w:rsidR="009C6C85" w:rsidRPr="00176C51" w:rsidRDefault="00DD6EAB" w:rsidP="00883173">
      <w:pPr>
        <w:pStyle w:val="Style4"/>
        <w:tabs>
          <w:tab w:val="left" w:leader="underscore" w:pos="7797"/>
        </w:tabs>
        <w:spacing w:line="240" w:lineRule="auto"/>
        <w:ind w:left="180" w:right="0"/>
        <w:jc w:val="both"/>
        <w:rPr>
          <w:rStyle w:val="CharacterStyle2"/>
          <w:rFonts w:ascii="Times New Roman" w:hAnsi="Times New Roman" w:cs="Times New Roman"/>
          <w:sz w:val="22"/>
          <w:szCs w:val="24"/>
        </w:rPr>
      </w:pPr>
      <w:r w:rsidRPr="00176C51">
        <w:rPr>
          <w:rStyle w:val="CharacterStyle2"/>
          <w:rFonts w:ascii="Times New Roman" w:hAnsi="Times New Roman" w:cs="Times New Roman"/>
          <w:spacing w:val="4"/>
          <w:sz w:val="22"/>
          <w:szCs w:val="24"/>
        </w:rPr>
        <w:t xml:space="preserve">Terpstra, V. and Yu, C. (1988). Determinants of foreign investment of US advertising agencies. </w:t>
      </w:r>
      <w:r w:rsidRPr="00176C51">
        <w:rPr>
          <w:rStyle w:val="CharacterStyle2"/>
          <w:rFonts w:ascii="Times New Roman" w:hAnsi="Times New Roman" w:cs="Times New Roman"/>
          <w:i/>
          <w:iCs/>
          <w:sz w:val="22"/>
          <w:szCs w:val="24"/>
        </w:rPr>
        <w:t xml:space="preserve">Journal of International Business Studies, </w:t>
      </w:r>
      <w:r w:rsidRPr="00176C51">
        <w:rPr>
          <w:rStyle w:val="CharacterStyle2"/>
          <w:rFonts w:ascii="Times New Roman" w:hAnsi="Times New Roman" w:cs="Times New Roman"/>
          <w:sz w:val="22"/>
          <w:szCs w:val="24"/>
        </w:rPr>
        <w:t>19(1), 33-46.</w:t>
      </w:r>
    </w:p>
    <w:p w:rsidR="009C6C85" w:rsidRPr="00176C51" w:rsidRDefault="00DD6EAB" w:rsidP="00883173">
      <w:pPr>
        <w:pStyle w:val="Style5"/>
        <w:tabs>
          <w:tab w:val="left" w:leader="underscore" w:pos="7797"/>
        </w:tabs>
        <w:spacing w:line="240" w:lineRule="auto"/>
        <w:ind w:left="180" w:right="0"/>
        <w:jc w:val="both"/>
        <w:rPr>
          <w:rStyle w:val="CharacterStyle3"/>
          <w:sz w:val="22"/>
          <w:szCs w:val="24"/>
        </w:rPr>
      </w:pPr>
      <w:r w:rsidRPr="00176C51">
        <w:rPr>
          <w:rStyle w:val="CharacterStyle3"/>
          <w:spacing w:val="3"/>
          <w:sz w:val="22"/>
          <w:szCs w:val="24"/>
        </w:rPr>
        <w:t xml:space="preserve">UNCTAD (United Nations Conference on Trade and Development) (1998). </w:t>
      </w:r>
      <w:r w:rsidRPr="00176C51">
        <w:rPr>
          <w:rStyle w:val="CharacterStyle3"/>
          <w:i/>
          <w:iCs/>
          <w:spacing w:val="3"/>
          <w:sz w:val="22"/>
          <w:szCs w:val="24"/>
        </w:rPr>
        <w:t xml:space="preserve">World Investment Report </w:t>
      </w:r>
      <w:r w:rsidRPr="00176C51">
        <w:rPr>
          <w:rStyle w:val="CharacterStyle3"/>
          <w:i/>
          <w:iCs/>
          <w:sz w:val="22"/>
          <w:szCs w:val="24"/>
        </w:rPr>
        <w:t xml:space="preserve">1998. </w:t>
      </w:r>
      <w:r w:rsidRPr="00176C51">
        <w:rPr>
          <w:rStyle w:val="CharacterStyle3"/>
          <w:sz w:val="22"/>
          <w:szCs w:val="24"/>
        </w:rPr>
        <w:t>New York: United Nations.</w:t>
      </w:r>
    </w:p>
    <w:p w:rsidR="00D92C64" w:rsidRDefault="00DD6EAB" w:rsidP="00883173">
      <w:pPr>
        <w:pStyle w:val="Style1"/>
        <w:tabs>
          <w:tab w:val="left" w:leader="underscore" w:pos="7797"/>
        </w:tabs>
        <w:adjustRightInd/>
        <w:ind w:left="180" w:hanging="180"/>
        <w:jc w:val="both"/>
        <w:rPr>
          <w:sz w:val="22"/>
          <w:szCs w:val="24"/>
        </w:rPr>
      </w:pPr>
      <w:r w:rsidRPr="00176C51">
        <w:rPr>
          <w:sz w:val="22"/>
          <w:szCs w:val="24"/>
        </w:rPr>
        <w:t>Vernon, R. (1994). Multinationals and governments: key actors in the NAFTA. In Eden, Lorraine</w:t>
      </w:r>
      <w:r w:rsidR="00D92C64">
        <w:rPr>
          <w:sz w:val="22"/>
          <w:szCs w:val="24"/>
        </w:rPr>
        <w:t xml:space="preserve"> </w:t>
      </w:r>
      <w:r w:rsidRPr="00176C51">
        <w:rPr>
          <w:sz w:val="22"/>
          <w:szCs w:val="24"/>
        </w:rPr>
        <w:t xml:space="preserve">(Ed.), </w:t>
      </w:r>
      <w:r w:rsidRPr="00176C51">
        <w:rPr>
          <w:i/>
          <w:iCs/>
          <w:sz w:val="22"/>
          <w:szCs w:val="24"/>
        </w:rPr>
        <w:t xml:space="preserve">Multinationals in North America, </w:t>
      </w:r>
      <w:r w:rsidRPr="00176C51">
        <w:rPr>
          <w:sz w:val="22"/>
          <w:szCs w:val="24"/>
        </w:rPr>
        <w:t xml:space="preserve">Calgary: The University of Calgary Press, pp. 25-52. </w:t>
      </w:r>
    </w:p>
    <w:p w:rsidR="00DD6EAB" w:rsidRPr="00176C51" w:rsidRDefault="00DD6EAB" w:rsidP="00883173">
      <w:pPr>
        <w:pStyle w:val="Style1"/>
        <w:tabs>
          <w:tab w:val="left" w:leader="underscore" w:pos="7797"/>
        </w:tabs>
        <w:adjustRightInd/>
        <w:ind w:left="180" w:hanging="180"/>
        <w:jc w:val="both"/>
        <w:rPr>
          <w:rStyle w:val="CharacterStyle2"/>
          <w:rFonts w:ascii="Times New Roman" w:hAnsi="Times New Roman" w:cs="Times New Roman"/>
          <w:sz w:val="22"/>
          <w:szCs w:val="24"/>
        </w:rPr>
      </w:pPr>
      <w:r w:rsidRPr="00176C51">
        <w:rPr>
          <w:sz w:val="22"/>
          <w:szCs w:val="24"/>
        </w:rPr>
        <w:t>Westney, D.E. (1994). Japanese multinationals in North America. In Eden, Lorraine (Ed.),</w:t>
      </w:r>
      <w:r w:rsidR="00D92C64">
        <w:rPr>
          <w:sz w:val="22"/>
          <w:szCs w:val="24"/>
        </w:rPr>
        <w:t xml:space="preserve"> </w:t>
      </w:r>
      <w:r w:rsidRPr="00176C51">
        <w:rPr>
          <w:rStyle w:val="CharacterStyle2"/>
          <w:rFonts w:ascii="Times New Roman" w:hAnsi="Times New Roman" w:cs="Times New Roman"/>
          <w:i/>
          <w:iCs/>
          <w:sz w:val="22"/>
          <w:szCs w:val="24"/>
        </w:rPr>
        <w:t xml:space="preserve">Multinationals in North America, </w:t>
      </w:r>
      <w:r w:rsidRPr="00176C51">
        <w:rPr>
          <w:rStyle w:val="CharacterStyle2"/>
          <w:rFonts w:ascii="Times New Roman" w:hAnsi="Times New Roman" w:cs="Times New Roman"/>
          <w:sz w:val="22"/>
          <w:szCs w:val="24"/>
        </w:rPr>
        <w:t>Calgary: The University of Calgary Press, pp. 253-276.</w:t>
      </w:r>
    </w:p>
    <w:sectPr w:rsidR="00DD6EAB" w:rsidRPr="00176C51" w:rsidSect="00DE5088">
      <w:headerReference w:type="even" r:id="rId13"/>
      <w:headerReference w:type="default" r:id="rId14"/>
      <w:pgSz w:w="12240" w:h="15840" w:code="1"/>
      <w:pgMar w:top="1728" w:right="1728" w:bottom="1152" w:left="1872" w:header="720" w:footer="720" w:gutter="0"/>
      <w:pgNumType w:start="179"/>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444F" w:rsidRDefault="0041444F" w:rsidP="00400A07">
      <w:r>
        <w:separator/>
      </w:r>
    </w:p>
  </w:endnote>
  <w:endnote w:type="continuationSeparator" w:id="0">
    <w:p w:rsidR="0041444F" w:rsidRDefault="0041444F" w:rsidP="00400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444F" w:rsidRDefault="0041444F" w:rsidP="00400A07">
      <w:r>
        <w:separator/>
      </w:r>
    </w:p>
  </w:footnote>
  <w:footnote w:type="continuationSeparator" w:id="0">
    <w:p w:rsidR="0041444F" w:rsidRDefault="0041444F" w:rsidP="00400A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4517914"/>
      <w:docPartObj>
        <w:docPartGallery w:val="Page Numbers (Top of Page)"/>
        <w:docPartUnique/>
      </w:docPartObj>
    </w:sdtPr>
    <w:sdtEndPr>
      <w:rPr>
        <w:noProof/>
      </w:rPr>
    </w:sdtEndPr>
    <w:sdtContent>
      <w:p w:rsidR="00400A07" w:rsidRDefault="00400A07">
        <w:pPr>
          <w:pStyle w:val="Header"/>
        </w:pPr>
        <w:r>
          <w:fldChar w:fldCharType="begin"/>
        </w:r>
        <w:r>
          <w:instrText xml:space="preserve"> PAGE   \* MERGEFORMAT </w:instrText>
        </w:r>
        <w:r>
          <w:fldChar w:fldCharType="separate"/>
        </w:r>
        <w:r w:rsidR="00EE2BF6">
          <w:rPr>
            <w:noProof/>
          </w:rPr>
          <w:t>192</w:t>
        </w:r>
        <w:r>
          <w:rPr>
            <w:noProof/>
          </w:rPr>
          <w:fldChar w:fldCharType="end"/>
        </w:r>
        <w:r>
          <w:rPr>
            <w:noProof/>
          </w:rPr>
          <w:t xml:space="preserve">  </w:t>
        </w:r>
        <w:r>
          <w:rPr>
            <w:rFonts w:ascii="Tahoma" w:hAnsi="Tahoma" w:cs="Tahoma"/>
            <w:noProof/>
            <w:spacing w:val="10"/>
          </w:rPr>
          <w:t>International Operations Management</w:t>
        </w:r>
      </w:p>
    </w:sdtContent>
  </w:sdt>
  <w:p w:rsidR="00400A07" w:rsidRDefault="00400A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0A07" w:rsidRPr="00400A07" w:rsidRDefault="00400A07">
    <w:pPr>
      <w:pStyle w:val="Header"/>
      <w:jc w:val="right"/>
      <w:rPr>
        <w:rFonts w:ascii="Tahoma" w:hAnsi="Tahoma" w:cs="Tahoma"/>
      </w:rPr>
    </w:pPr>
    <w:r w:rsidRPr="00400A07">
      <w:rPr>
        <w:rFonts w:ascii="Tahoma" w:hAnsi="Tahoma" w:cs="Tahoma"/>
        <w:spacing w:val="10"/>
      </w:rPr>
      <w:t>GREE Case Study</w:t>
    </w:r>
    <w:r w:rsidRPr="00400A07">
      <w:rPr>
        <w:rFonts w:ascii="Tahoma" w:hAnsi="Tahoma" w:cs="Tahoma"/>
      </w:rPr>
      <w:t xml:space="preserve">   </w:t>
    </w:r>
    <w:sdt>
      <w:sdtPr>
        <w:rPr>
          <w:rFonts w:ascii="Tahoma" w:hAnsi="Tahoma" w:cs="Tahoma"/>
        </w:rPr>
        <w:id w:val="1768967575"/>
        <w:docPartObj>
          <w:docPartGallery w:val="Page Numbers (Top of Page)"/>
          <w:docPartUnique/>
        </w:docPartObj>
      </w:sdtPr>
      <w:sdtEndPr>
        <w:rPr>
          <w:noProof/>
        </w:rPr>
      </w:sdtEndPr>
      <w:sdtContent>
        <w:r w:rsidRPr="00400A07">
          <w:rPr>
            <w:rFonts w:ascii="Tahoma" w:hAnsi="Tahoma" w:cs="Tahoma"/>
          </w:rPr>
          <w:fldChar w:fldCharType="begin"/>
        </w:r>
        <w:r w:rsidRPr="00400A07">
          <w:rPr>
            <w:rFonts w:ascii="Tahoma" w:hAnsi="Tahoma" w:cs="Tahoma"/>
          </w:rPr>
          <w:instrText xml:space="preserve"> PAGE   \* MERGEFORMAT </w:instrText>
        </w:r>
        <w:r w:rsidRPr="00400A07">
          <w:rPr>
            <w:rFonts w:ascii="Tahoma" w:hAnsi="Tahoma" w:cs="Tahoma"/>
          </w:rPr>
          <w:fldChar w:fldCharType="separate"/>
        </w:r>
        <w:r w:rsidR="00EE2BF6">
          <w:rPr>
            <w:rFonts w:ascii="Tahoma" w:hAnsi="Tahoma" w:cs="Tahoma"/>
            <w:noProof/>
          </w:rPr>
          <w:t>193</w:t>
        </w:r>
        <w:r w:rsidRPr="00400A07">
          <w:rPr>
            <w:rFonts w:ascii="Tahoma" w:hAnsi="Tahoma" w:cs="Tahoma"/>
            <w:noProof/>
          </w:rPr>
          <w:fldChar w:fldCharType="end"/>
        </w:r>
      </w:sdtContent>
    </w:sdt>
  </w:p>
  <w:p w:rsidR="00400A07" w:rsidRPr="00400A07" w:rsidRDefault="00400A07">
    <w:pPr>
      <w:pStyle w:val="Header"/>
      <w:rPr>
        <w:rFonts w:ascii="Tahoma" w:hAnsi="Tahoma" w:cs="Tahom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3E012"/>
    <w:multiLevelType w:val="singleLevel"/>
    <w:tmpl w:val="8C226F20"/>
    <w:lvl w:ilvl="0">
      <w:numFmt w:val="bullet"/>
      <w:lvlText w:val="·"/>
      <w:lvlJc w:val="left"/>
      <w:pPr>
        <w:tabs>
          <w:tab w:val="num" w:pos="288"/>
        </w:tabs>
        <w:ind w:left="288" w:hanging="288"/>
      </w:pPr>
      <w:rPr>
        <w:rFonts w:ascii="Symbol" w:hAnsi="Symbol" w:cs="Symbol"/>
        <w:i w:val="0"/>
        <w:iCs/>
        <w:snapToGrid/>
        <w:sz w:val="20"/>
        <w:szCs w:val="20"/>
      </w:rPr>
    </w:lvl>
  </w:abstractNum>
  <w:abstractNum w:abstractNumId="1">
    <w:nsid w:val="01A9FA3A"/>
    <w:multiLevelType w:val="singleLevel"/>
    <w:tmpl w:val="0B7EABD1"/>
    <w:lvl w:ilvl="0">
      <w:start w:val="1"/>
      <w:numFmt w:val="decimal"/>
      <w:lvlText w:val="%1."/>
      <w:lvlJc w:val="left"/>
      <w:pPr>
        <w:tabs>
          <w:tab w:val="num" w:pos="432"/>
        </w:tabs>
        <w:ind w:left="360"/>
      </w:pPr>
      <w:rPr>
        <w:rFonts w:ascii="Arial" w:hAnsi="Arial" w:cs="Arial"/>
        <w:snapToGrid/>
        <w:sz w:val="18"/>
        <w:szCs w:val="18"/>
      </w:rPr>
    </w:lvl>
  </w:abstractNum>
  <w:abstractNum w:abstractNumId="2">
    <w:nsid w:val="03706806"/>
    <w:multiLevelType w:val="singleLevel"/>
    <w:tmpl w:val="26D467D0"/>
    <w:lvl w:ilvl="0">
      <w:start w:val="1"/>
      <w:numFmt w:val="decimal"/>
      <w:lvlText w:val="%1."/>
      <w:lvlJc w:val="left"/>
      <w:pPr>
        <w:tabs>
          <w:tab w:val="num" w:pos="432"/>
        </w:tabs>
        <w:ind w:left="792" w:hanging="432"/>
      </w:pPr>
      <w:rPr>
        <w:rFonts w:ascii="Arial" w:hAnsi="Arial" w:cs="Arial"/>
        <w:snapToGrid/>
        <w:sz w:val="18"/>
        <w:szCs w:val="18"/>
      </w:rPr>
    </w:lvl>
  </w:abstractNum>
  <w:abstractNum w:abstractNumId="3">
    <w:nsid w:val="06EA6025"/>
    <w:multiLevelType w:val="singleLevel"/>
    <w:tmpl w:val="A53C5684"/>
    <w:lvl w:ilvl="0">
      <w:start w:val="1"/>
      <w:numFmt w:val="decimal"/>
      <w:lvlText w:val="%1."/>
      <w:lvlJc w:val="left"/>
      <w:pPr>
        <w:tabs>
          <w:tab w:val="num" w:pos="360"/>
        </w:tabs>
      </w:pPr>
      <w:rPr>
        <w:rFonts w:ascii="Times New Roman" w:hAnsi="Times New Roman" w:cs="Times New Roman" w:hint="default"/>
        <w:snapToGrid/>
        <w:sz w:val="18"/>
        <w:szCs w:val="18"/>
      </w:rPr>
    </w:lvl>
  </w:abstractNum>
  <w:num w:numId="1">
    <w:abstractNumId w:val="0"/>
  </w:num>
  <w:num w:numId="2">
    <w:abstractNumId w:val="0"/>
    <w:lvlOverride w:ilvl="0">
      <w:lvl w:ilvl="0">
        <w:numFmt w:val="bullet"/>
        <w:lvlText w:val="·"/>
        <w:lvlJc w:val="left"/>
        <w:pPr>
          <w:tabs>
            <w:tab w:val="num" w:pos="288"/>
          </w:tabs>
          <w:ind w:left="288" w:hanging="288"/>
        </w:pPr>
        <w:rPr>
          <w:rFonts w:ascii="Symbol" w:hAnsi="Symbol" w:cs="Symbol"/>
          <w:i w:val="0"/>
          <w:iCs/>
          <w:snapToGrid/>
          <w:spacing w:val="12"/>
          <w:sz w:val="18"/>
          <w:szCs w:val="18"/>
        </w:rPr>
      </w:lvl>
    </w:lvlOverride>
  </w:num>
  <w:num w:numId="3">
    <w:abstractNumId w:val="0"/>
    <w:lvlOverride w:ilvl="0">
      <w:lvl w:ilvl="0">
        <w:numFmt w:val="bullet"/>
        <w:lvlText w:val="·"/>
        <w:lvlJc w:val="left"/>
        <w:pPr>
          <w:tabs>
            <w:tab w:val="num" w:pos="360"/>
          </w:tabs>
        </w:pPr>
        <w:rPr>
          <w:rFonts w:ascii="Symbol" w:hAnsi="Symbol" w:cs="Symbol"/>
          <w:snapToGrid/>
          <w:sz w:val="18"/>
          <w:szCs w:val="18"/>
        </w:rPr>
      </w:lvl>
    </w:lvlOverride>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17D"/>
    <w:rsid w:val="00125EB9"/>
    <w:rsid w:val="00176C51"/>
    <w:rsid w:val="00400A07"/>
    <w:rsid w:val="0041444F"/>
    <w:rsid w:val="006A3903"/>
    <w:rsid w:val="0087220B"/>
    <w:rsid w:val="00883173"/>
    <w:rsid w:val="008A6F98"/>
    <w:rsid w:val="008B7CFB"/>
    <w:rsid w:val="008C2656"/>
    <w:rsid w:val="008D172B"/>
    <w:rsid w:val="008D5725"/>
    <w:rsid w:val="009806E7"/>
    <w:rsid w:val="009C6C85"/>
    <w:rsid w:val="00AF3C31"/>
    <w:rsid w:val="00B41587"/>
    <w:rsid w:val="00D2517D"/>
    <w:rsid w:val="00D92C64"/>
    <w:rsid w:val="00DD6EAB"/>
    <w:rsid w:val="00DE5088"/>
    <w:rsid w:val="00EE2B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2D3E54C8-7B34-4068-B6D7-489E73966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uiPriority w:val="99"/>
    <w:pPr>
      <w:widowControl w:val="0"/>
      <w:autoSpaceDE w:val="0"/>
      <w:autoSpaceDN w:val="0"/>
      <w:adjustRightInd w:val="0"/>
      <w:spacing w:after="0" w:line="240" w:lineRule="auto"/>
    </w:pPr>
    <w:rPr>
      <w:rFonts w:ascii="Times New Roman" w:hAnsi="Times New Roman" w:cs="Times New Roman"/>
      <w:kern w:val="0"/>
      <w:sz w:val="20"/>
      <w:szCs w:val="20"/>
    </w:rPr>
  </w:style>
  <w:style w:type="paragraph" w:customStyle="1" w:styleId="Style8">
    <w:name w:val="Style 8"/>
    <w:uiPriority w:val="99"/>
    <w:pPr>
      <w:widowControl w:val="0"/>
      <w:autoSpaceDE w:val="0"/>
      <w:autoSpaceDN w:val="0"/>
      <w:spacing w:after="0" w:line="240" w:lineRule="auto"/>
      <w:ind w:left="2376"/>
    </w:pPr>
    <w:rPr>
      <w:rFonts w:ascii="Bookman Old Style" w:hAnsi="Bookman Old Style" w:cs="Bookman Old Style"/>
      <w:kern w:val="0"/>
      <w:sz w:val="18"/>
      <w:szCs w:val="18"/>
    </w:rPr>
  </w:style>
  <w:style w:type="paragraph" w:customStyle="1" w:styleId="Style2">
    <w:name w:val="Style 2"/>
    <w:uiPriority w:val="99"/>
    <w:pPr>
      <w:widowControl w:val="0"/>
      <w:autoSpaceDE w:val="0"/>
      <w:autoSpaceDN w:val="0"/>
      <w:spacing w:after="0" w:line="283" w:lineRule="auto"/>
      <w:ind w:left="288" w:hanging="288"/>
      <w:jc w:val="both"/>
    </w:pPr>
    <w:rPr>
      <w:rFonts w:ascii="Bookman Old Style" w:hAnsi="Bookman Old Style" w:cs="Bookman Old Style"/>
      <w:kern w:val="0"/>
      <w:sz w:val="18"/>
      <w:szCs w:val="18"/>
    </w:rPr>
  </w:style>
  <w:style w:type="paragraph" w:customStyle="1" w:styleId="Style3">
    <w:name w:val="Style 3"/>
    <w:uiPriority w:val="99"/>
    <w:pPr>
      <w:widowControl w:val="0"/>
      <w:autoSpaceDE w:val="0"/>
      <w:autoSpaceDN w:val="0"/>
      <w:spacing w:before="252" w:after="0" w:line="278" w:lineRule="auto"/>
      <w:jc w:val="both"/>
    </w:pPr>
    <w:rPr>
      <w:rFonts w:ascii="Bookman Old Style" w:hAnsi="Bookman Old Style" w:cs="Bookman Old Style"/>
      <w:kern w:val="0"/>
      <w:sz w:val="18"/>
      <w:szCs w:val="18"/>
    </w:rPr>
  </w:style>
  <w:style w:type="paragraph" w:customStyle="1" w:styleId="Style6">
    <w:name w:val="Style 6"/>
    <w:uiPriority w:val="99"/>
    <w:pPr>
      <w:widowControl w:val="0"/>
      <w:autoSpaceDE w:val="0"/>
      <w:autoSpaceDN w:val="0"/>
      <w:adjustRightInd w:val="0"/>
      <w:spacing w:after="0" w:line="240" w:lineRule="auto"/>
    </w:pPr>
    <w:rPr>
      <w:rFonts w:ascii="Bookman Old Style" w:hAnsi="Bookman Old Style" w:cs="Bookman Old Style"/>
      <w:kern w:val="0"/>
      <w:sz w:val="18"/>
      <w:szCs w:val="18"/>
    </w:rPr>
  </w:style>
  <w:style w:type="paragraph" w:customStyle="1" w:styleId="Style10">
    <w:name w:val="Style 10"/>
    <w:uiPriority w:val="99"/>
    <w:pPr>
      <w:widowControl w:val="0"/>
      <w:autoSpaceDE w:val="0"/>
      <w:autoSpaceDN w:val="0"/>
      <w:spacing w:before="36" w:after="0" w:line="480" w:lineRule="auto"/>
      <w:ind w:left="216" w:right="5400"/>
    </w:pPr>
    <w:rPr>
      <w:rFonts w:ascii="Bookman Old Style" w:hAnsi="Bookman Old Style" w:cs="Bookman Old Style"/>
      <w:kern w:val="0"/>
      <w:sz w:val="18"/>
      <w:szCs w:val="18"/>
    </w:rPr>
  </w:style>
  <w:style w:type="paragraph" w:customStyle="1" w:styleId="Style7">
    <w:name w:val="Style 7"/>
    <w:uiPriority w:val="99"/>
    <w:pPr>
      <w:widowControl w:val="0"/>
      <w:autoSpaceDE w:val="0"/>
      <w:autoSpaceDN w:val="0"/>
      <w:spacing w:after="0" w:line="283" w:lineRule="auto"/>
      <w:ind w:left="144" w:right="144" w:firstLine="360"/>
      <w:jc w:val="both"/>
    </w:pPr>
    <w:rPr>
      <w:rFonts w:ascii="Bookman Old Style" w:hAnsi="Bookman Old Style" w:cs="Bookman Old Style"/>
      <w:kern w:val="0"/>
      <w:sz w:val="18"/>
      <w:szCs w:val="18"/>
    </w:rPr>
  </w:style>
  <w:style w:type="paragraph" w:customStyle="1" w:styleId="Style4">
    <w:name w:val="Style 4"/>
    <w:uiPriority w:val="99"/>
    <w:pPr>
      <w:widowControl w:val="0"/>
      <w:autoSpaceDE w:val="0"/>
      <w:autoSpaceDN w:val="0"/>
      <w:spacing w:after="0" w:line="307" w:lineRule="auto"/>
      <w:ind w:left="360" w:right="144" w:hanging="216"/>
    </w:pPr>
    <w:rPr>
      <w:rFonts w:ascii="Bookman Old Style" w:hAnsi="Bookman Old Style" w:cs="Bookman Old Style"/>
      <w:kern w:val="0"/>
      <w:sz w:val="16"/>
      <w:szCs w:val="16"/>
    </w:rPr>
  </w:style>
  <w:style w:type="paragraph" w:customStyle="1" w:styleId="Style5">
    <w:name w:val="Style 5"/>
    <w:uiPriority w:val="99"/>
    <w:pPr>
      <w:widowControl w:val="0"/>
      <w:autoSpaceDE w:val="0"/>
      <w:autoSpaceDN w:val="0"/>
      <w:spacing w:after="0" w:line="288" w:lineRule="auto"/>
      <w:ind w:left="360" w:right="144" w:hanging="216"/>
    </w:pPr>
    <w:rPr>
      <w:rFonts w:ascii="Times New Roman" w:hAnsi="Times New Roman" w:cs="Times New Roman"/>
      <w:i/>
      <w:iCs/>
      <w:kern w:val="0"/>
      <w:sz w:val="18"/>
      <w:szCs w:val="18"/>
    </w:rPr>
  </w:style>
  <w:style w:type="character" w:customStyle="1" w:styleId="CharacterStyle1">
    <w:name w:val="Character Style 1"/>
    <w:uiPriority w:val="99"/>
    <w:rPr>
      <w:rFonts w:ascii="Bookman Old Style" w:hAnsi="Bookman Old Style" w:cs="Bookman Old Style"/>
      <w:sz w:val="18"/>
      <w:szCs w:val="18"/>
    </w:rPr>
  </w:style>
  <w:style w:type="character" w:customStyle="1" w:styleId="CharacterStyle2">
    <w:name w:val="Character Style 2"/>
    <w:uiPriority w:val="99"/>
    <w:rPr>
      <w:rFonts w:ascii="Bookman Old Style" w:hAnsi="Bookman Old Style" w:cs="Bookman Old Style"/>
      <w:sz w:val="16"/>
      <w:szCs w:val="16"/>
    </w:rPr>
  </w:style>
  <w:style w:type="character" w:customStyle="1" w:styleId="CharacterStyle3">
    <w:name w:val="Character Style 3"/>
    <w:uiPriority w:val="99"/>
    <w:rPr>
      <w:i/>
      <w:iCs/>
      <w:sz w:val="18"/>
      <w:szCs w:val="18"/>
    </w:rPr>
  </w:style>
  <w:style w:type="paragraph" w:styleId="BalloonText">
    <w:name w:val="Balloon Text"/>
    <w:basedOn w:val="Normal"/>
    <w:link w:val="BalloonTextChar"/>
    <w:uiPriority w:val="99"/>
    <w:semiHidden/>
    <w:unhideWhenUsed/>
    <w:rsid w:val="008B7CFB"/>
    <w:rPr>
      <w:rFonts w:ascii="Tahoma" w:hAnsi="Tahoma" w:cs="Tahoma"/>
      <w:sz w:val="16"/>
      <w:szCs w:val="16"/>
    </w:rPr>
  </w:style>
  <w:style w:type="character" w:customStyle="1" w:styleId="BalloonTextChar">
    <w:name w:val="Balloon Text Char"/>
    <w:basedOn w:val="DefaultParagraphFont"/>
    <w:link w:val="BalloonText"/>
    <w:uiPriority w:val="99"/>
    <w:semiHidden/>
    <w:rsid w:val="008B7CFB"/>
    <w:rPr>
      <w:rFonts w:ascii="Tahoma" w:hAnsi="Tahoma" w:cs="Tahoma"/>
      <w:kern w:val="0"/>
      <w:sz w:val="16"/>
      <w:szCs w:val="16"/>
    </w:rPr>
  </w:style>
  <w:style w:type="paragraph" w:styleId="Header">
    <w:name w:val="header"/>
    <w:basedOn w:val="Normal"/>
    <w:link w:val="HeaderChar"/>
    <w:uiPriority w:val="99"/>
    <w:unhideWhenUsed/>
    <w:rsid w:val="00400A07"/>
    <w:pPr>
      <w:tabs>
        <w:tab w:val="center" w:pos="4680"/>
        <w:tab w:val="right" w:pos="9360"/>
      </w:tabs>
    </w:pPr>
  </w:style>
  <w:style w:type="character" w:customStyle="1" w:styleId="HeaderChar">
    <w:name w:val="Header Char"/>
    <w:basedOn w:val="DefaultParagraphFont"/>
    <w:link w:val="Header"/>
    <w:uiPriority w:val="99"/>
    <w:rsid w:val="00400A07"/>
    <w:rPr>
      <w:rFonts w:ascii="Times New Roman" w:hAnsi="Times New Roman" w:cs="Times New Roman"/>
      <w:kern w:val="0"/>
      <w:sz w:val="20"/>
      <w:szCs w:val="20"/>
    </w:rPr>
  </w:style>
  <w:style w:type="paragraph" w:styleId="Footer">
    <w:name w:val="footer"/>
    <w:basedOn w:val="Normal"/>
    <w:link w:val="FooterChar"/>
    <w:uiPriority w:val="99"/>
    <w:unhideWhenUsed/>
    <w:rsid w:val="00400A07"/>
    <w:pPr>
      <w:tabs>
        <w:tab w:val="center" w:pos="4680"/>
        <w:tab w:val="right" w:pos="9360"/>
      </w:tabs>
    </w:pPr>
  </w:style>
  <w:style w:type="character" w:customStyle="1" w:styleId="FooterChar">
    <w:name w:val="Footer Char"/>
    <w:basedOn w:val="DefaultParagraphFont"/>
    <w:link w:val="Footer"/>
    <w:uiPriority w:val="99"/>
    <w:rsid w:val="00400A07"/>
    <w:rPr>
      <w:rFonts w:ascii="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E9366-FE5E-4C67-9E39-571BB805B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15</Pages>
  <Words>5749</Words>
  <Characters>32771</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14</cp:revision>
  <dcterms:created xsi:type="dcterms:W3CDTF">2013-06-02T17:04:00Z</dcterms:created>
  <dcterms:modified xsi:type="dcterms:W3CDTF">2019-05-03T16:17:00Z</dcterms:modified>
</cp:coreProperties>
</file>