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15FE" w:rsidRPr="00556F2B" w:rsidRDefault="00556F2B" w:rsidP="00142F99">
      <w:pPr>
        <w:pStyle w:val="Style1"/>
        <w:adjustRightInd/>
        <w:ind w:left="2410"/>
        <w:rPr>
          <w:i/>
          <w:iCs/>
          <w:sz w:val="36"/>
          <w:szCs w:val="48"/>
        </w:rPr>
      </w:pPr>
      <w:r>
        <w:rPr>
          <w:i/>
          <w:iCs/>
          <w:noProof/>
          <w:sz w:val="48"/>
          <w:szCs w:val="48"/>
        </w:rPr>
        <mc:AlternateContent>
          <mc:Choice Requires="wps">
            <w:drawing>
              <wp:anchor distT="0" distB="0" distL="114300" distR="114300" simplePos="0" relativeHeight="251665407" behindDoc="0" locked="0" layoutInCell="1" allowOverlap="1" wp14:anchorId="4058CD6F" wp14:editId="29CDE667">
                <wp:simplePos x="0" y="0"/>
                <wp:positionH relativeFrom="column">
                  <wp:posOffset>721995</wp:posOffset>
                </wp:positionH>
                <wp:positionV relativeFrom="paragraph">
                  <wp:posOffset>-133350</wp:posOffset>
                </wp:positionV>
                <wp:extent cx="790575" cy="657225"/>
                <wp:effectExtent l="0" t="0" r="9525" b="9525"/>
                <wp:wrapNone/>
                <wp:docPr id="7" name="Rectangle 7"/>
                <wp:cNvGraphicFramePr/>
                <a:graphic xmlns:a="http://schemas.openxmlformats.org/drawingml/2006/main">
                  <a:graphicData uri="http://schemas.microsoft.com/office/word/2010/wordprocessingShape">
                    <wps:wsp>
                      <wps:cNvSpPr/>
                      <wps:spPr>
                        <a:xfrm>
                          <a:off x="0" y="0"/>
                          <a:ext cx="790575" cy="65722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19C512F" id="Rectangle 7" o:spid="_x0000_s1026" style="position:absolute;margin-left:56.85pt;margin-top:-10.5pt;width:62.25pt;height:51.75pt;z-index:25166540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" fillcolor="white [3212]" stroked="f" strokeweight="1pt"/>
            </w:pict>
          </mc:Fallback>
        </mc:AlternateContent>
      </w:r>
      <w:r w:rsidRPr="00142F99">
        <w:rPr>
          <w:i/>
          <w:iCs/>
          <w:noProof/>
          <w:sz w:val="48"/>
          <w:szCs w:val="48"/>
        </w:rPr>
        <mc:AlternateContent>
          <mc:Choice Requires="wps">
            <w:drawing>
              <wp:anchor distT="0" distB="0" distL="114300" distR="114300" simplePos="0" relativeHeight="251667456" behindDoc="0" locked="0" layoutInCell="1" allowOverlap="1" wp14:anchorId="65C07FC1" wp14:editId="24F20726">
                <wp:simplePos x="0" y="0"/>
                <wp:positionH relativeFrom="column">
                  <wp:posOffset>677545</wp:posOffset>
                </wp:positionH>
                <wp:positionV relativeFrom="paragraph">
                  <wp:posOffset>-238125</wp:posOffset>
                </wp:positionV>
                <wp:extent cx="1019175" cy="847725"/>
                <wp:effectExtent l="0" t="0" r="0" b="0"/>
                <wp:wrapNone/>
                <wp:docPr id="6" name="Text Box 6"/>
                <wp:cNvGraphicFramePr/>
                <a:graphic xmlns:a="http://schemas.openxmlformats.org/drawingml/2006/main">
                  <a:graphicData uri="http://schemas.microsoft.com/office/word/2010/wordprocessingShape">
                    <wps:wsp>
                      <wps:cNvSpPr txBox="1"/>
                      <wps:spPr>
                        <a:xfrm>
                          <a:off x="0" y="0"/>
                          <a:ext cx="1019175" cy="847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9B4153" w:rsidRPr="00556F2B" w:rsidRDefault="009B4153" w:rsidP="009B4153">
                            <w:pPr>
                              <w:rPr>
                                <w:rFonts w:ascii="Century Gothic" w:hAnsi="Century Gothic"/>
                                <w:sz w:val="40"/>
                                <w:lang w:val="id-ID"/>
                              </w:rPr>
                            </w:pPr>
                            <w:r w:rsidRPr="00556F2B">
                              <w:rPr>
                                <w:rFonts w:ascii="Century Gothic" w:hAnsi="Century Gothic" w:cs="Tahoma"/>
                                <w:b/>
                                <w:bCs/>
                                <w:sz w:val="96"/>
                                <w:szCs w:val="62"/>
                                <w:lang w:val="id-ID"/>
                              </w:rPr>
                              <w:t>11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65C07FC1" id="_x0000_t202" coordsize="21600,21600" o:spt="202" path="m,l,21600r21600,l21600,xe">
                <v:stroke joinstyle="miter"/>
                <v:path gradientshapeok="t" o:connecttype="rect"/>
              </v:shapetype>
              <v:shape id="Text Box 6" o:spid="_x0000_s1026" type="#_x0000_t202" style="position:absolute;left:0;text-align:left;margin-left:53.35pt;margin-top:-18.75pt;width:80.25pt;height:66.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" filled="f" stroked="f" strokeweight=".5pt">
                <v:textbox>
                  <w:txbxContent>
                    <w:p w:rsidR="009B4153" w:rsidRPr="00556F2B" w:rsidRDefault="009B4153" w:rsidP="009B4153">
                      <w:pPr>
                        <w:rPr>
                          <w:rFonts w:ascii="Century Gothic" w:hAnsi="Century Gothic"/>
                          <w:sz w:val="40"/>
                          <w:lang w:val="id-ID"/>
                        </w:rPr>
                      </w:pPr>
                      <w:r w:rsidRPr="00556F2B">
                        <w:rPr>
                          <w:rFonts w:ascii="Century Gothic" w:hAnsi="Century Gothic" w:cs="Tahoma"/>
                          <w:b/>
                          <w:bCs/>
                          <w:sz w:val="96"/>
                          <w:szCs w:val="62"/>
                          <w:lang w:val="id-ID"/>
                        </w:rPr>
                        <w:t>11</w:t>
                      </w:r>
                    </w:p>
                  </w:txbxContent>
                </v:textbox>
              </v:shape>
            </w:pict>
          </mc:Fallback>
        </mc:AlternateContent>
      </w:r>
      <w:r w:rsidRPr="00142F99">
        <w:rPr>
          <w:i/>
          <w:iCs/>
          <w:noProof/>
          <w:sz w:val="48"/>
          <w:szCs w:val="48"/>
        </w:rPr>
        <mc:AlternateContent>
          <mc:Choice Requires="wps">
            <w:drawing>
              <wp:anchor distT="0" distB="0" distL="114300" distR="114300" simplePos="0" relativeHeight="251660288" behindDoc="0" locked="0" layoutInCell="1" allowOverlap="1" wp14:anchorId="74091631" wp14:editId="1BA54A64">
                <wp:simplePos x="0" y="0"/>
                <wp:positionH relativeFrom="column">
                  <wp:posOffset>-259715</wp:posOffset>
                </wp:positionH>
                <wp:positionV relativeFrom="paragraph">
                  <wp:posOffset>-88900</wp:posOffset>
                </wp:positionV>
                <wp:extent cx="1301115" cy="428625"/>
                <wp:effectExtent l="0" t="0" r="0" b="0"/>
                <wp:wrapNone/>
                <wp:docPr id="1" name="Text Box 1"/>
                <wp:cNvGraphicFramePr/>
                <a:graphic xmlns:a="http://schemas.openxmlformats.org/drawingml/2006/main">
                  <a:graphicData uri="http://schemas.microsoft.com/office/word/2010/wordprocessingShape">
                    <wps:wsp>
                      <wps:cNvSpPr txBox="1"/>
                      <wps:spPr>
                        <a:xfrm>
                          <a:off x="0" y="0"/>
                          <a:ext cx="1301115" cy="4286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41A89" w:rsidRPr="00F215FE" w:rsidRDefault="00441A89">
                            <w:pPr>
                              <w:rPr>
                                <w:rFonts w:ascii="Bookman Old Style" w:hAnsi="Bookman Old Style"/>
                                <w:b/>
                                <w:lang w:val="id-ID"/>
                              </w:rPr>
                            </w:pPr>
                            <w:r w:rsidRPr="00F215FE">
                              <w:rPr>
                                <w:rFonts w:ascii="Verdana" w:hAnsi="Verdana" w:cs="Tahoma"/>
                                <w:b/>
                                <w:bCs/>
                                <w:sz w:val="24"/>
                                <w:szCs w:val="24"/>
                              </w:rPr>
                              <w:t>CHAPTER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4091631" id="Text Box 1" o:spid="_x0000_s1027" type="#_x0000_t202" style="position:absolute;left:0;text-align:left;margin-left:-20.45pt;margin-top:-7pt;width:102.45pt;height:33.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" filled="f" stroked="f" strokeweight=".5pt">
                <v:textbox>
                  <w:txbxContent>
                    <w:p w:rsidR="00441A89" w:rsidRPr="00F215FE" w:rsidRDefault="00441A89">
                      <w:pPr>
                        <w:rPr>
                          <w:rFonts w:ascii="Bookman Old Style" w:hAnsi="Bookman Old Style"/>
                          <w:b/>
                          <w:lang w:val="id-ID"/>
                        </w:rPr>
                      </w:pPr>
                      <w:r w:rsidRPr="00F215FE">
                        <w:rPr>
                          <w:rFonts w:ascii="Verdana" w:hAnsi="Verdana" w:cs="Tahoma"/>
                          <w:b/>
                          <w:bCs/>
                          <w:sz w:val="24"/>
                          <w:szCs w:val="24"/>
                        </w:rPr>
                        <w:t>CHAPTER</w:t>
                      </w:r>
                    </w:p>
                  </w:txbxContent>
                </v:textbox>
              </v:shape>
            </w:pict>
          </mc:Fallback>
        </mc:AlternateContent>
      </w:r>
      <w:r w:rsidR="00F215FE" w:rsidRPr="00556F2B">
        <w:rPr>
          <w:i/>
          <w:iCs/>
          <w:noProof/>
          <w:sz w:val="36"/>
          <w:szCs w:val="48"/>
        </w:rPr>
        <mc:AlternateContent>
          <mc:Choice Requires="wps">
            <w:drawing>
              <wp:anchor distT="0" distB="0" distL="114300" distR="114300" simplePos="0" relativeHeight="251659264" behindDoc="0" locked="0" layoutInCell="1" allowOverlap="1" wp14:anchorId="06682B1D" wp14:editId="654AA58A">
                <wp:simplePos x="0" y="0"/>
                <wp:positionH relativeFrom="column">
                  <wp:posOffset>-131445</wp:posOffset>
                </wp:positionH>
                <wp:positionV relativeFrom="paragraph">
                  <wp:posOffset>173355</wp:posOffset>
                </wp:positionV>
                <wp:extent cx="5303520" cy="0"/>
                <wp:effectExtent l="0" t="0" r="30480" b="19050"/>
                <wp:wrapNone/>
                <wp:docPr id="2" name="Straight Connector 2"/>
                <wp:cNvGraphicFramePr/>
                <a:graphic xmlns:a="http://schemas.openxmlformats.org/drawingml/2006/main">
                  <a:graphicData uri="http://schemas.microsoft.com/office/word/2010/wordprocessingShape">
                    <wps:wsp>
                      <wps:cNvCnPr/>
                      <wps:spPr>
                        <a:xfrm>
                          <a:off x="0" y="0"/>
                          <a:ext cx="5303520" cy="0"/>
                        </a:xfrm>
                        <a:prstGeom prst="line">
                          <a:avLst/>
                        </a:prstGeom>
                        <a:ln w="9525"/>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5ED6652"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35pt,13.65pt" to="407.25pt,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" strokecolor="black [3200]">
                <v:stroke joinstyle="miter"/>
              </v:line>
            </w:pict>
          </mc:Fallback>
        </mc:AlternateContent>
      </w:r>
    </w:p>
    <w:p w:rsidR="0050382E" w:rsidRPr="00556F2B" w:rsidRDefault="005D0E4C" w:rsidP="00142F99">
      <w:pPr>
        <w:pStyle w:val="Style1"/>
        <w:adjustRightInd/>
        <w:ind w:left="2410"/>
        <w:rPr>
          <w:rFonts w:ascii="Bookman Old Style" w:hAnsi="Bookman Old Style" w:cs="Bookman Old Style"/>
          <w:szCs w:val="18"/>
        </w:rPr>
      </w:pPr>
      <w:r w:rsidRPr="00556F2B">
        <w:rPr>
          <w:i/>
          <w:iCs/>
          <w:sz w:val="52"/>
          <w:szCs w:val="48"/>
        </w:rPr>
        <w:t>Danieli Case Study</w:t>
      </w:r>
      <w:r w:rsidR="00A1696A" w:rsidRPr="00556F2B">
        <w:rPr>
          <w:i/>
          <w:iCs/>
          <w:sz w:val="52"/>
          <w:szCs w:val="48"/>
          <w:lang w:val="id-ID"/>
        </w:rPr>
        <w:t>:</w:t>
      </w:r>
    </w:p>
    <w:p w:rsidR="0050382E" w:rsidRPr="00556F2B" w:rsidRDefault="005D0E4C" w:rsidP="00142F99">
      <w:pPr>
        <w:pStyle w:val="Style1"/>
        <w:adjustRightInd/>
        <w:ind w:left="2410"/>
        <w:rPr>
          <w:i/>
          <w:iCs/>
          <w:sz w:val="52"/>
          <w:szCs w:val="48"/>
        </w:rPr>
      </w:pPr>
      <w:r w:rsidRPr="00556F2B">
        <w:rPr>
          <w:i/>
          <w:iCs/>
          <w:sz w:val="52"/>
          <w:szCs w:val="48"/>
        </w:rPr>
        <w:t>Exa</w:t>
      </w:r>
      <w:r w:rsidR="00556F2B" w:rsidRPr="00556F2B">
        <w:rPr>
          <w:i/>
          <w:iCs/>
          <w:sz w:val="52"/>
          <w:szCs w:val="48"/>
        </w:rPr>
        <w:t xml:space="preserve"> </w:t>
      </w:r>
      <w:r w:rsidRPr="00556F2B">
        <w:rPr>
          <w:i/>
          <w:iCs/>
          <w:sz w:val="52"/>
          <w:szCs w:val="48"/>
        </w:rPr>
        <w:t>mples of Countertrade</w:t>
      </w:r>
    </w:p>
    <w:p w:rsidR="0050382E" w:rsidRPr="00556F2B" w:rsidRDefault="005D0E4C" w:rsidP="00142F99">
      <w:pPr>
        <w:pStyle w:val="Style1"/>
        <w:adjustRightInd/>
        <w:ind w:left="2410"/>
        <w:rPr>
          <w:i/>
          <w:iCs/>
          <w:sz w:val="52"/>
          <w:szCs w:val="48"/>
        </w:rPr>
      </w:pPr>
      <w:r w:rsidRPr="00556F2B">
        <w:rPr>
          <w:i/>
          <w:iCs/>
          <w:sz w:val="52"/>
          <w:szCs w:val="48"/>
        </w:rPr>
        <w:t>Agreements in China</w:t>
      </w:r>
    </w:p>
    <w:p w:rsidR="0050382E" w:rsidRPr="00142F99" w:rsidRDefault="005D0E4C">
      <w:pPr>
        <w:pStyle w:val="Style1"/>
        <w:adjustRightInd/>
        <w:spacing w:before="180"/>
        <w:ind w:left="2448"/>
        <w:rPr>
          <w:i/>
          <w:iCs/>
          <w:sz w:val="22"/>
          <w:szCs w:val="22"/>
        </w:rPr>
      </w:pPr>
      <w:r w:rsidRPr="00142F99">
        <w:rPr>
          <w:i/>
          <w:iCs/>
          <w:sz w:val="22"/>
          <w:szCs w:val="22"/>
        </w:rPr>
        <w:t>Countertrade constraints on supply chain management: operations management effects and alternative approaches</w:t>
      </w:r>
    </w:p>
    <w:p w:rsidR="0050382E" w:rsidRPr="00142F99" w:rsidRDefault="005D0E4C">
      <w:pPr>
        <w:pStyle w:val="Style1"/>
        <w:adjustRightInd/>
        <w:spacing w:before="504"/>
        <w:ind w:left="2376" w:right="1224"/>
        <w:rPr>
          <w:rFonts w:ascii="Tahoma" w:hAnsi="Tahoma" w:cs="Tahoma"/>
        </w:rPr>
      </w:pPr>
      <w:r w:rsidRPr="00142F99">
        <w:rPr>
          <w:rFonts w:ascii="Tahoma" w:hAnsi="Tahoma" w:cs="Tahoma"/>
        </w:rPr>
        <w:t>GUIDO NASSIMBENI, MARCO SARTOR AND ANNA MUCIGNAT</w:t>
      </w:r>
    </w:p>
    <w:p w:rsidR="00556F2B" w:rsidRPr="00556F2B" w:rsidRDefault="00556F2B" w:rsidP="00556F2B">
      <w:pPr>
        <w:pStyle w:val="Style2"/>
        <w:spacing w:before="360" w:after="240" w:line="240" w:lineRule="auto"/>
        <w:jc w:val="both"/>
        <w:rPr>
          <w:rStyle w:val="CharacterStyle1"/>
          <w:rFonts w:ascii="Tahoma" w:hAnsi="Tahoma" w:cs="Tahoma"/>
          <w:sz w:val="16"/>
          <w:szCs w:val="24"/>
        </w:rPr>
      </w:pPr>
    </w:p>
    <w:p w:rsidR="0050382E" w:rsidRPr="00556F2B" w:rsidRDefault="005D0E4C" w:rsidP="00556F2B">
      <w:pPr>
        <w:pStyle w:val="Style2"/>
        <w:spacing w:before="360" w:after="240" w:line="240" w:lineRule="auto"/>
        <w:jc w:val="both"/>
        <w:rPr>
          <w:rStyle w:val="CharacterStyle1"/>
          <w:rFonts w:ascii="Tahoma" w:hAnsi="Tahoma" w:cs="Tahoma"/>
          <w:sz w:val="28"/>
          <w:szCs w:val="24"/>
        </w:rPr>
      </w:pPr>
      <w:r w:rsidRPr="00556F2B">
        <w:rPr>
          <w:rStyle w:val="CharacterStyle1"/>
          <w:rFonts w:ascii="Tahoma" w:hAnsi="Tahoma" w:cs="Tahoma"/>
          <w:sz w:val="28"/>
          <w:szCs w:val="24"/>
        </w:rPr>
        <w:t>11.1 Theory</w:t>
      </w:r>
    </w:p>
    <w:p w:rsidR="0050382E" w:rsidRPr="00556F2B" w:rsidRDefault="005D0E4C" w:rsidP="00556F2B">
      <w:pPr>
        <w:pStyle w:val="Style2"/>
        <w:spacing w:before="360" w:after="240" w:line="240" w:lineRule="auto"/>
        <w:jc w:val="both"/>
        <w:rPr>
          <w:rStyle w:val="CharacterStyle1"/>
          <w:rFonts w:ascii="Tahoma" w:hAnsi="Tahoma" w:cs="Tahoma"/>
          <w:sz w:val="24"/>
          <w:szCs w:val="24"/>
        </w:rPr>
      </w:pPr>
      <w:r w:rsidRPr="00556F2B">
        <w:rPr>
          <w:rStyle w:val="CharacterStyle1"/>
          <w:rFonts w:ascii="Tahoma" w:hAnsi="Tahoma" w:cs="Tahoma"/>
          <w:sz w:val="24"/>
          <w:szCs w:val="24"/>
        </w:rPr>
        <w:t>11.1.1 TYPES OF INTERNATIONAL SOURCING (IS)</w:t>
      </w:r>
    </w:p>
    <w:p w:rsidR="0050382E" w:rsidRDefault="005D0E4C" w:rsidP="00B311C2">
      <w:pPr>
        <w:pStyle w:val="Style2"/>
        <w:spacing w:before="0" w:line="240" w:lineRule="auto"/>
        <w:jc w:val="both"/>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The internationalisation of procurement activities in China is a growing and complex phenomenon. Three main types of sourcing are available:</w:t>
      </w:r>
    </w:p>
    <w:p w:rsidR="00556F2B" w:rsidRPr="00B311C2" w:rsidRDefault="00556F2B" w:rsidP="00B311C2">
      <w:pPr>
        <w:pStyle w:val="Style2"/>
        <w:spacing w:before="0" w:line="240" w:lineRule="auto"/>
        <w:jc w:val="both"/>
        <w:rPr>
          <w:rStyle w:val="CharacterStyle1"/>
          <w:rFonts w:ascii="Times New Roman" w:hAnsi="Times New Roman" w:cs="Times New Roman"/>
          <w:sz w:val="24"/>
          <w:szCs w:val="24"/>
        </w:rPr>
      </w:pPr>
    </w:p>
    <w:p w:rsidR="0050382E" w:rsidRPr="00B311C2" w:rsidRDefault="005D0E4C" w:rsidP="00B311C2">
      <w:pPr>
        <w:pStyle w:val="Style2"/>
        <w:numPr>
          <w:ilvl w:val="0"/>
          <w:numId w:val="1"/>
        </w:numPr>
        <w:spacing w:before="0" w:line="240" w:lineRule="auto"/>
        <w:jc w:val="both"/>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Sourcing intermediated by a third party at the purchaser—supplier interface;</w:t>
      </w:r>
    </w:p>
    <w:p w:rsidR="0050382E" w:rsidRPr="00B311C2" w:rsidRDefault="005D0E4C" w:rsidP="00B311C2">
      <w:pPr>
        <w:pStyle w:val="Style1"/>
        <w:numPr>
          <w:ilvl w:val="0"/>
          <w:numId w:val="1"/>
        </w:numPr>
        <w:adjustRightInd/>
        <w:ind w:left="360" w:hanging="360"/>
        <w:jc w:val="both"/>
        <w:rPr>
          <w:sz w:val="24"/>
          <w:szCs w:val="24"/>
        </w:rPr>
      </w:pPr>
      <w:r w:rsidRPr="00B311C2">
        <w:rPr>
          <w:sz w:val="24"/>
          <w:szCs w:val="24"/>
        </w:rPr>
        <w:t>Direct sourcing in its different forms: with or without operational collaboration between the parties and with or without shareholding;</w:t>
      </w:r>
    </w:p>
    <w:p w:rsidR="0050382E" w:rsidRDefault="005D0E4C" w:rsidP="00B311C2">
      <w:pPr>
        <w:pStyle w:val="Style1"/>
        <w:numPr>
          <w:ilvl w:val="0"/>
          <w:numId w:val="1"/>
        </w:numPr>
        <w:adjustRightInd/>
        <w:ind w:left="360" w:hanging="360"/>
        <w:jc w:val="both"/>
        <w:rPr>
          <w:sz w:val="24"/>
          <w:szCs w:val="24"/>
        </w:rPr>
      </w:pPr>
      <w:r w:rsidRPr="00B311C2">
        <w:rPr>
          <w:sz w:val="24"/>
          <w:szCs w:val="24"/>
        </w:rPr>
        <w:t>Sourcing imposed by the need to legitimate the presence of an enterprise in China.</w:t>
      </w:r>
    </w:p>
    <w:p w:rsidR="00556F2B" w:rsidRPr="00B311C2" w:rsidRDefault="00556F2B" w:rsidP="00556F2B">
      <w:pPr>
        <w:pStyle w:val="Style1"/>
        <w:adjustRightInd/>
        <w:jc w:val="both"/>
        <w:rPr>
          <w:sz w:val="24"/>
          <w:szCs w:val="24"/>
        </w:rPr>
      </w:pPr>
    </w:p>
    <w:p w:rsidR="0050382E" w:rsidRPr="00B311C2" w:rsidRDefault="005D0E4C" w:rsidP="00B311C2">
      <w:pPr>
        <w:pStyle w:val="Style1"/>
        <w:adjustRightInd/>
        <w:ind w:firstLine="288"/>
        <w:jc w:val="both"/>
        <w:rPr>
          <w:sz w:val="24"/>
          <w:szCs w:val="24"/>
        </w:rPr>
      </w:pPr>
      <w:r w:rsidRPr="00B311C2">
        <w:rPr>
          <w:sz w:val="24"/>
          <w:szCs w:val="24"/>
        </w:rPr>
        <w:t>These types of sourcing differ with regard to several characteristics: the presence of governmental limitations regarding vendor selection, the presence and kinds of intermediation possible (third parties), the content of the customer—supplier interactions, the establishment of equity agreements between Western and Eastern parties and so forth.</w:t>
      </w:r>
    </w:p>
    <w:p w:rsidR="0050382E" w:rsidRPr="00B311C2" w:rsidRDefault="005D0E4C" w:rsidP="00B311C2">
      <w:pPr>
        <w:pStyle w:val="Style1"/>
        <w:adjustRightInd/>
        <w:ind w:firstLine="288"/>
        <w:jc w:val="both"/>
        <w:rPr>
          <w:sz w:val="24"/>
          <w:szCs w:val="24"/>
        </w:rPr>
      </w:pPr>
      <w:r w:rsidRPr="00B311C2">
        <w:rPr>
          <w:sz w:val="24"/>
          <w:szCs w:val="24"/>
        </w:rPr>
        <w:t>The different types of sourcing may also coexist in one company because, for instance, a company can directly source certain products and rely on intermediaries for others.</w:t>
      </w:r>
    </w:p>
    <w:p w:rsidR="0050382E" w:rsidRPr="00B311C2" w:rsidRDefault="005D0E4C" w:rsidP="00B311C2">
      <w:pPr>
        <w:pStyle w:val="Style1"/>
        <w:adjustRightInd/>
        <w:ind w:firstLine="288"/>
        <w:jc w:val="both"/>
        <w:rPr>
          <w:sz w:val="24"/>
          <w:szCs w:val="24"/>
        </w:rPr>
      </w:pPr>
      <w:r w:rsidRPr="00B311C2">
        <w:rPr>
          <w:sz w:val="24"/>
          <w:szCs w:val="24"/>
        </w:rPr>
        <w:t>'Imposed sourcing', which is the main topic of this case study, represents just one of the possible streategies used by governments to restrict access to the local market. Other solutions adopted include a large variety of countertrade obligations, such as bartering, counter-purchasing and buy-back requirements. These types of obligations will be briefly described in this case study together with the main types of sourcing already mentioned.</w:t>
      </w:r>
    </w:p>
    <w:p w:rsidR="0050382E" w:rsidRPr="00556F2B" w:rsidRDefault="005D0E4C" w:rsidP="00556F2B">
      <w:pPr>
        <w:pStyle w:val="Style2"/>
        <w:spacing w:before="360" w:after="240" w:line="240" w:lineRule="auto"/>
        <w:rPr>
          <w:rStyle w:val="CharacterStyle1"/>
          <w:rFonts w:ascii="Tahoma" w:hAnsi="Tahoma" w:cs="Tahoma"/>
          <w:sz w:val="24"/>
          <w:szCs w:val="24"/>
        </w:rPr>
      </w:pPr>
      <w:r w:rsidRPr="00556F2B">
        <w:rPr>
          <w:rStyle w:val="CharacterStyle1"/>
          <w:rFonts w:ascii="Tahoma" w:hAnsi="Tahoma" w:cs="Tahoma"/>
          <w:sz w:val="24"/>
          <w:szCs w:val="24"/>
        </w:rPr>
        <w:t>Intermediated international sourcing</w:t>
      </w:r>
    </w:p>
    <w:p w:rsidR="00F215FE" w:rsidRPr="00B311C2" w:rsidRDefault="005D0E4C" w:rsidP="00556F2B">
      <w:pPr>
        <w:pStyle w:val="Style2"/>
        <w:spacing w:before="0" w:line="240" w:lineRule="auto"/>
        <w:jc w:val="both"/>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Intermediated international sourcing refers to the presence of a third party between the two ends of a transaction, the supplier and buyer end. There are two types of intermediation:</w:t>
      </w:r>
    </w:p>
    <w:p w:rsidR="0050382E" w:rsidRPr="00B311C2" w:rsidRDefault="005D0E4C" w:rsidP="00B311C2">
      <w:pPr>
        <w:pStyle w:val="Style3"/>
        <w:numPr>
          <w:ilvl w:val="0"/>
          <w:numId w:val="2"/>
        </w:numPr>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i/>
          <w:iCs/>
          <w:sz w:val="24"/>
          <w:szCs w:val="24"/>
        </w:rPr>
        <w:lastRenderedPageBreak/>
        <w:t xml:space="preserve">Traditional intermediation. </w:t>
      </w:r>
      <w:r w:rsidRPr="00B311C2">
        <w:rPr>
          <w:rStyle w:val="CharacterStyle1"/>
          <w:rFonts w:ascii="Times New Roman" w:hAnsi="Times New Roman" w:cs="Times New Roman"/>
          <w:sz w:val="24"/>
          <w:szCs w:val="24"/>
        </w:rPr>
        <w:t>In this case, the intermediary is an international wholesaler who buys products on the Chinese market and resells them in other markets. The profile of the intermediary is essentially commercial, even though the type of service provided requires the capacity to manage all of the variables connected to the international transfer of goods (logistics, customs obligations, and so on) appropriately. The Western buyer is not directly visible, consequently that buyer's interaction with the Eastern supplier is purely indirect. The goods purchased are usually standard. In fact, it is not advisable to use this form of supply to buy specific or complex products because there is no steady, direct relationship between the parties. The possibility of providing technical explanations or asking for a project and productive changes is complicated by the intermediary's typically playing a commercial role.</w:t>
      </w:r>
    </w:p>
    <w:p w:rsidR="0050382E" w:rsidRDefault="005D0E4C" w:rsidP="00B311C2">
      <w:pPr>
        <w:pStyle w:val="Style3"/>
        <w:numPr>
          <w:ilvl w:val="0"/>
          <w:numId w:val="2"/>
        </w:numPr>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i/>
          <w:iCs/>
          <w:sz w:val="24"/>
          <w:szCs w:val="24"/>
        </w:rPr>
        <w:t xml:space="preserve">International outsourcing of services. </w:t>
      </w:r>
      <w:r w:rsidRPr="00B311C2">
        <w:rPr>
          <w:rStyle w:val="CharacterStyle1"/>
          <w:rFonts w:ascii="Times New Roman" w:hAnsi="Times New Roman" w:cs="Times New Roman"/>
          <w:sz w:val="24"/>
          <w:szCs w:val="24"/>
        </w:rPr>
        <w:t>In this case, the intermediary provides a set of services: an analysis of the Chinese offering, the identification of potential suppliers, the establishment of the agreement, quality checks, the screening of international carriers and supplier monitoring.</w:t>
      </w:r>
    </w:p>
    <w:p w:rsidR="00556F2B" w:rsidRPr="00B311C2" w:rsidRDefault="00556F2B" w:rsidP="00556F2B">
      <w:pPr>
        <w:pStyle w:val="Style3"/>
        <w:spacing w:line="240" w:lineRule="auto"/>
        <w:rPr>
          <w:rStyle w:val="CharacterStyle1"/>
          <w:rFonts w:ascii="Times New Roman" w:hAnsi="Times New Roman" w:cs="Times New Roman"/>
          <w:sz w:val="24"/>
          <w:szCs w:val="24"/>
        </w:rPr>
      </w:pPr>
    </w:p>
    <w:p w:rsidR="0050382E" w:rsidRPr="00B311C2" w:rsidRDefault="005D0E4C" w:rsidP="00B311C2">
      <w:pPr>
        <w:pStyle w:val="Style4"/>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Thanks to their experience and base of operations in the Chinese market, such intermediaries can select the most suitable information channels and screen supply opportunities. They can successfully manage the trading phase by controlling any opportunistic behaviour on the part of the Chinese party and, at the same time, clarify the advantages of the supply relationship. The Western operator exploring the Chinese market is often bewildered by the various offers available, the surplus of information and the unusual contractual style at play.</w:t>
      </w:r>
    </w:p>
    <w:p w:rsidR="0050382E" w:rsidRPr="00B311C2" w:rsidRDefault="005D0E4C" w:rsidP="00B311C2">
      <w:pPr>
        <w:pStyle w:val="Style4"/>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The use of outsourcing is linked to company size. Small- and medium-sized companies (SMEs) rarely have suitable resources and expertise to manage a sourcing channel in China autonomously. In many respects, the intermediary acts as an international purchasing office for these companies.</w:t>
      </w:r>
    </w:p>
    <w:p w:rsidR="0050382E" w:rsidRPr="00B311C2" w:rsidRDefault="005D0E4C" w:rsidP="00B311C2">
      <w:pPr>
        <w:pStyle w:val="Style4"/>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Intermediation can be an effective and relatively safe way to test the Chinese market before deciding on direct sourcing.</w:t>
      </w:r>
    </w:p>
    <w:p w:rsidR="0050382E" w:rsidRPr="00B311C2" w:rsidRDefault="005D0E4C" w:rsidP="00B311C2">
      <w:pPr>
        <w:pStyle w:val="Style4"/>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The main disadvantages of this kind of sourcing are the intermediation costs and —as far as the traditional intermediation is concerned — the difficulty (in some cases the impossibility) of interacting directly with the sources.</w:t>
      </w:r>
    </w:p>
    <w:p w:rsidR="0050382E" w:rsidRPr="00556F2B" w:rsidRDefault="005D0E4C" w:rsidP="00556F2B">
      <w:pPr>
        <w:pStyle w:val="Style2"/>
        <w:spacing w:before="360" w:after="240" w:line="240" w:lineRule="auto"/>
        <w:rPr>
          <w:rStyle w:val="CharacterStyle1"/>
          <w:rFonts w:ascii="Tahoma" w:hAnsi="Tahoma" w:cs="Tahoma"/>
          <w:sz w:val="24"/>
          <w:szCs w:val="24"/>
        </w:rPr>
      </w:pPr>
      <w:r w:rsidRPr="00556F2B">
        <w:rPr>
          <w:rStyle w:val="CharacterStyle1"/>
          <w:rFonts w:ascii="Tahoma" w:hAnsi="Tahoma" w:cs="Tahoma"/>
          <w:sz w:val="24"/>
          <w:szCs w:val="24"/>
        </w:rPr>
        <w:t>Direct Sourcing</w:t>
      </w:r>
    </w:p>
    <w:p w:rsidR="0050382E" w:rsidRPr="00B311C2" w:rsidRDefault="005D0E4C" w:rsidP="00B311C2">
      <w:pPr>
        <w:pStyle w:val="Style1"/>
        <w:adjustRightInd/>
        <w:jc w:val="both"/>
        <w:rPr>
          <w:sz w:val="24"/>
          <w:szCs w:val="24"/>
        </w:rPr>
      </w:pPr>
      <w:r w:rsidRPr="00B311C2">
        <w:rPr>
          <w:sz w:val="24"/>
          <w:szCs w:val="24"/>
        </w:rPr>
        <w:t>Direct Sourcing (DS) refers to sourcing with neither intermediation nor constraints connected with one's choice of supplier. On the basis of empirical evidence, it is possible to isolate these forms of direct sourcing:</w:t>
      </w:r>
    </w:p>
    <w:p w:rsidR="0050382E" w:rsidRPr="00556F2B" w:rsidRDefault="005D0E4C" w:rsidP="00556F2B">
      <w:pPr>
        <w:pStyle w:val="Style3"/>
        <w:numPr>
          <w:ilvl w:val="0"/>
          <w:numId w:val="2"/>
        </w:numPr>
        <w:spacing w:line="240" w:lineRule="auto"/>
        <w:rPr>
          <w:rStyle w:val="CharacterStyle1"/>
          <w:rFonts w:ascii="Times New Roman" w:hAnsi="Times New Roman" w:cs="Times New Roman"/>
          <w:sz w:val="24"/>
          <w:szCs w:val="24"/>
        </w:rPr>
      </w:pPr>
      <w:r w:rsidRPr="00556F2B">
        <w:rPr>
          <w:rStyle w:val="CharacterStyle1"/>
          <w:rFonts w:ascii="Times New Roman" w:hAnsi="Times New Roman" w:cs="Times New Roman"/>
          <w:i/>
          <w:iCs/>
          <w:sz w:val="24"/>
          <w:szCs w:val="24"/>
        </w:rPr>
        <w:t xml:space="preserve">Traditional DS. </w:t>
      </w:r>
      <w:r w:rsidRPr="00556F2B">
        <w:rPr>
          <w:rStyle w:val="CharacterStyle1"/>
          <w:rFonts w:ascii="Times New Roman" w:hAnsi="Times New Roman" w:cs="Times New Roman"/>
          <w:sz w:val="24"/>
          <w:szCs w:val="24"/>
        </w:rPr>
        <w:t>The supply relationship occurs when there are no operational forms of integration between the parties. The Western buyer turns to a local contact based on an approach that we could call 'pure market': the code is standard — that is, it is available in the catalogue without specific adjustments (limited switching costs). Therefore, the risk of unreliability of supplies is limited. There are no particular quality control problems because these are repeated orders for standardised items. They are often carried out or completed by the buying plant. The Western firm does not intend to guarantee long-term relationships: the relative ease of finding new sources suggests</w:t>
      </w:r>
      <w:r w:rsidR="00556F2B" w:rsidRPr="00556F2B">
        <w:rPr>
          <w:rStyle w:val="CharacterStyle1"/>
          <w:rFonts w:ascii="Times New Roman" w:hAnsi="Times New Roman" w:cs="Times New Roman"/>
          <w:sz w:val="24"/>
          <w:szCs w:val="24"/>
        </w:rPr>
        <w:t xml:space="preserve"> </w:t>
      </w:r>
      <w:r w:rsidRPr="00556F2B">
        <w:rPr>
          <w:rStyle w:val="CharacterStyle1"/>
          <w:rFonts w:ascii="Times New Roman" w:hAnsi="Times New Roman" w:cs="Times New Roman"/>
          <w:sz w:val="24"/>
          <w:szCs w:val="24"/>
        </w:rPr>
        <w:lastRenderedPageBreak/>
        <w:t>choosing the most favourable opportunity from time to time in the selected market or in other economical environments.</w:t>
      </w:r>
    </w:p>
    <w:p w:rsidR="0050382E" w:rsidRDefault="005D0E4C" w:rsidP="00B311C2">
      <w:pPr>
        <w:pStyle w:val="Style3"/>
        <w:numPr>
          <w:ilvl w:val="0"/>
          <w:numId w:val="3"/>
        </w:numPr>
        <w:tabs>
          <w:tab w:val="clear" w:pos="72"/>
        </w:tabs>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i/>
          <w:iCs/>
          <w:sz w:val="24"/>
          <w:szCs w:val="24"/>
        </w:rPr>
        <w:t xml:space="preserve">Collaborative DS. </w:t>
      </w:r>
      <w:r w:rsidRPr="00B311C2">
        <w:rPr>
          <w:rStyle w:val="CharacterStyle1"/>
          <w:rFonts w:ascii="Times New Roman" w:hAnsi="Times New Roman" w:cs="Times New Roman"/>
          <w:sz w:val="24"/>
          <w:szCs w:val="24"/>
        </w:rPr>
        <w:t>In this case, the relationship provides for an operative 'collaboration' between the parties. There is abundant literature on forms and advantages of buyer—supplier collaboration. Briefly, this collaboration develops in the realm of design and production logistics and aims to join product development with better material flow synchronisation. The foundation of these synergies is the awareness that competition does not depend exclusively on a single enterprise but rather relies on the whole chain or network in which it is placed. The supply unit, even if located offshore, becomes part of a production system that is internationally distributed but integrated and interconnected.</w:t>
      </w:r>
    </w:p>
    <w:p w:rsidR="00556F2B" w:rsidRPr="00B311C2" w:rsidRDefault="00556F2B" w:rsidP="00556F2B">
      <w:pPr>
        <w:pStyle w:val="Style3"/>
        <w:spacing w:line="240" w:lineRule="auto"/>
        <w:rPr>
          <w:rStyle w:val="CharacterStyle1"/>
          <w:rFonts w:ascii="Times New Roman" w:hAnsi="Times New Roman" w:cs="Times New Roman"/>
          <w:sz w:val="24"/>
          <w:szCs w:val="24"/>
        </w:rPr>
      </w:pPr>
    </w:p>
    <w:p w:rsidR="0050382E" w:rsidRPr="00B311C2" w:rsidRDefault="005D0E4C" w:rsidP="00B311C2">
      <w:pPr>
        <w:pStyle w:val="Style4"/>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These forms of collaboration sometimes go hand in hand with equity agreements — that is, forms of capital participation. Among the types of enterprise that can be established in China (joint ventures, wholly foreign-owned enterprises, foreign-invested companies limited by shareholdings and, since 2005, wholly foreign-owned trading companies), the solutions that are usually adopted are those of the joint venture and the wholly owned foreign enterprise (WOFE). In particular, WOFE has recently become the prevalent choice of foreign investors (China's Ministry of Foreign Trade and Economic Cooperation, 2009).</w:t>
      </w:r>
    </w:p>
    <w:p w:rsidR="0050382E" w:rsidRPr="00556F2B" w:rsidRDefault="005D0E4C" w:rsidP="00556F2B">
      <w:pPr>
        <w:pStyle w:val="Style2"/>
        <w:spacing w:before="360" w:after="240" w:line="240" w:lineRule="auto"/>
        <w:rPr>
          <w:rStyle w:val="CharacterStyle1"/>
          <w:rFonts w:ascii="Tahoma" w:hAnsi="Tahoma" w:cs="Tahoma"/>
          <w:sz w:val="24"/>
          <w:szCs w:val="24"/>
        </w:rPr>
      </w:pPr>
      <w:r w:rsidRPr="00556F2B">
        <w:rPr>
          <w:rStyle w:val="CharacterStyle1"/>
          <w:rFonts w:ascii="Tahoma" w:hAnsi="Tahoma" w:cs="Tahoma"/>
          <w:sz w:val="24"/>
          <w:szCs w:val="24"/>
        </w:rPr>
        <w:t>11.1.2 IMPOSED SOURCING</w:t>
      </w:r>
    </w:p>
    <w:p w:rsidR="0050382E" w:rsidRPr="00B311C2" w:rsidRDefault="005D0E4C" w:rsidP="00B311C2">
      <w:pPr>
        <w:pStyle w:val="Style2"/>
        <w:spacing w:before="0" w:line="240" w:lineRule="auto"/>
        <w:jc w:val="both"/>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This term refers to sourcing imposed as a condition of the sale of Western products on the Chinese market. The selection of suppliers is bound (through a list of suppliers imposed on the Western enterprise) by the client and (local or central) government when the contract is submitted for signing.</w:t>
      </w:r>
    </w:p>
    <w:p w:rsidR="0050382E" w:rsidRPr="00B311C2" w:rsidRDefault="005D0E4C" w:rsidP="00B311C2">
      <w:pPr>
        <w:pStyle w:val="Style4"/>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The reason for this sourcing typology can be located in the process of radical transformation in the Chinese industrial system during the last 20 years. State-owned enterprises have gradually given way to private ones that are rapidly pursuing technological, organisational and managerial improvements that will allow them to work in a market economy regime. To promote a gradual transition, the Chinese state (or local administration) requires imposed sourcing in some 'strategic' industries (usually connected to high-tech and engineer-to-order products). Moreover, 'imposed sourcing' has the favourable effect (for the Chinese industrial system) of transferring know-how from leading Western companies to Chinese ones characterised by a technological and organisational profile that was anything but acceptable when they exited from the state regime. The almost 20-year-long systematic application of these obligations has enabled China to acquire key competences in some industries and, at the same time, improve the professional skills of its local labour force.</w:t>
      </w:r>
    </w:p>
    <w:p w:rsidR="0050382E" w:rsidRDefault="005D0E4C" w:rsidP="00B311C2">
      <w:pPr>
        <w:pStyle w:val="Style4"/>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Imposed sourcing has several important aspects. First, a buyer is required to have a diverse array of skills at a high level, including the following:</w:t>
      </w:r>
    </w:p>
    <w:p w:rsidR="00556F2B" w:rsidRPr="00B311C2" w:rsidRDefault="00556F2B" w:rsidP="00B311C2">
      <w:pPr>
        <w:pStyle w:val="Style4"/>
        <w:spacing w:line="240" w:lineRule="auto"/>
        <w:rPr>
          <w:rStyle w:val="CharacterStyle1"/>
          <w:rFonts w:ascii="Times New Roman" w:hAnsi="Times New Roman" w:cs="Times New Roman"/>
          <w:sz w:val="24"/>
          <w:szCs w:val="24"/>
        </w:rPr>
      </w:pPr>
    </w:p>
    <w:p w:rsidR="0050382E" w:rsidRPr="00B311C2" w:rsidRDefault="005D0E4C" w:rsidP="00556F2B">
      <w:pPr>
        <w:pStyle w:val="Style3"/>
        <w:widowControl/>
        <w:numPr>
          <w:ilvl w:val="0"/>
          <w:numId w:val="12"/>
        </w:numPr>
        <w:spacing w:line="240" w:lineRule="auto"/>
        <w:ind w:left="360" w:hanging="357"/>
        <w:rPr>
          <w:rFonts w:ascii="Times New Roman" w:hAnsi="Times New Roman" w:cs="Times New Roman"/>
          <w:sz w:val="24"/>
          <w:szCs w:val="24"/>
        </w:rPr>
      </w:pPr>
      <w:r w:rsidRPr="00B311C2">
        <w:rPr>
          <w:rStyle w:val="CharacterStyle1"/>
          <w:rFonts w:ascii="Times New Roman" w:hAnsi="Times New Roman" w:cs="Times New Roman"/>
          <w:sz w:val="24"/>
          <w:szCs w:val="24"/>
        </w:rPr>
        <w:t>negotiation capability (during the phase of negotiation with the customer, which is critical for all of the identified sourcing types but in this case includes specific complexities because the formalisation level of the transaction is higher than in other</w:t>
      </w:r>
      <w:r w:rsidR="004B7B7C" w:rsidRPr="00B311C2">
        <w:rPr>
          <w:rStyle w:val="CharacterStyle1"/>
          <w:rFonts w:ascii="Times New Roman" w:hAnsi="Times New Roman" w:cs="Times New Roman"/>
          <w:sz w:val="24"/>
          <w:szCs w:val="24"/>
          <w:lang w:val="id-ID"/>
        </w:rPr>
        <w:t xml:space="preserve"> </w:t>
      </w:r>
      <w:r w:rsidRPr="00B311C2">
        <w:rPr>
          <w:rFonts w:ascii="Times New Roman" w:hAnsi="Times New Roman" w:cs="Times New Roman"/>
          <w:sz w:val="24"/>
          <w:szCs w:val="24"/>
        </w:rPr>
        <w:lastRenderedPageBreak/>
        <w:t>sourcing types and because it is governed by strict local regulations and subject to institutional control),</w:t>
      </w:r>
    </w:p>
    <w:p w:rsidR="0050382E" w:rsidRPr="00B311C2" w:rsidRDefault="005D0E4C" w:rsidP="00B311C2">
      <w:pPr>
        <w:pStyle w:val="Style4"/>
        <w:numPr>
          <w:ilvl w:val="0"/>
          <w:numId w:val="12"/>
        </w:numPr>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the ability to coordinate the local supply network, and</w:t>
      </w:r>
    </w:p>
    <w:p w:rsidR="0050382E" w:rsidRDefault="005D0E4C" w:rsidP="00B311C2">
      <w:pPr>
        <w:pStyle w:val="Style1"/>
        <w:numPr>
          <w:ilvl w:val="0"/>
          <w:numId w:val="12"/>
        </w:numPr>
        <w:adjustRightInd/>
        <w:jc w:val="both"/>
        <w:rPr>
          <w:sz w:val="24"/>
          <w:szCs w:val="24"/>
        </w:rPr>
      </w:pPr>
      <w:r w:rsidRPr="00B311C2">
        <w:rPr>
          <w:sz w:val="24"/>
          <w:szCs w:val="24"/>
        </w:rPr>
        <w:t>the capacity to transfer know-how and technology to the supplier (Western companies responsible for the whole product/project realisation must enable imposed suppliers to perform the work assigned to them).</w:t>
      </w:r>
    </w:p>
    <w:p w:rsidR="00556F2B" w:rsidRPr="00B311C2" w:rsidRDefault="00556F2B" w:rsidP="00556F2B">
      <w:pPr>
        <w:pStyle w:val="Style1"/>
        <w:adjustRightInd/>
        <w:jc w:val="both"/>
        <w:rPr>
          <w:sz w:val="24"/>
          <w:szCs w:val="24"/>
        </w:rPr>
      </w:pPr>
    </w:p>
    <w:p w:rsidR="0050382E" w:rsidRPr="00B311C2" w:rsidRDefault="005D0E4C" w:rsidP="00B311C2">
      <w:pPr>
        <w:pStyle w:val="Style4"/>
        <w:spacing w:line="240" w:lineRule="auto"/>
        <w:ind w:firstLine="0"/>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The latter activity is particularly critical in China.</w:t>
      </w:r>
    </w:p>
    <w:p w:rsidR="0050382E" w:rsidRPr="00B311C2" w:rsidRDefault="005D0E4C" w:rsidP="00B311C2">
      <w:pPr>
        <w:pStyle w:val="Style4"/>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Moreover, in imposed sourcing, the Western company can be required to play the important and complex role of main contractor, providing leadership and supervision to the entire international supply network, because the local (Chinese) level of technology and organisation is usually low. Production control and scheduling activity, as well as flow progress, may require the Western company to assign its own staff to the suppliers to monitor their quality and time.</w:t>
      </w:r>
    </w:p>
    <w:p w:rsidR="0050382E" w:rsidRPr="00B311C2" w:rsidRDefault="005D0E4C" w:rsidP="00B311C2">
      <w:pPr>
        <w:pStyle w:val="Style4"/>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Imposed sourcing can take the form of Local Content Requirements (LCRs) or Direct/ Indirect Offset Local Sourcing (DOLS or IOLS).</w:t>
      </w:r>
    </w:p>
    <w:p w:rsidR="0050382E" w:rsidRPr="00B311C2" w:rsidRDefault="005D0E4C" w:rsidP="00B311C2">
      <w:pPr>
        <w:pStyle w:val="Style4"/>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 xml:space="preserve">Local content requirements (LCRs) are government policies that are used in developing countries to regulate foreign direct investment. LCRs determine that firms selling a good in a country (the </w:t>
      </w:r>
      <w:r w:rsidRPr="00B311C2">
        <w:rPr>
          <w:rStyle w:val="CharacterStyle1"/>
          <w:rFonts w:ascii="Times New Roman" w:hAnsi="Times New Roman" w:cs="Times New Roman"/>
          <w:i/>
          <w:iCs/>
          <w:sz w:val="24"/>
          <w:szCs w:val="24"/>
        </w:rPr>
        <w:t xml:space="preserve">host country) </w:t>
      </w:r>
      <w:r w:rsidRPr="00B311C2">
        <w:rPr>
          <w:rStyle w:val="CharacterStyle1"/>
          <w:rFonts w:ascii="Times New Roman" w:hAnsi="Times New Roman" w:cs="Times New Roman"/>
          <w:sz w:val="24"/>
          <w:szCs w:val="24"/>
        </w:rPr>
        <w:t>must procure a defined part of intermediate inputs locally. The share of imposed local inputs usually ranges from 15-100 per cent (Qiu and Tao, 2001). Developing countries commonly use these policies to regulate foreign direct investment. However, in recent years LCRs have also become popular in industrialised countries. Significant examples of LCR policies come from the automotive industry. In the 1990s, the percentage of local inputs reached 60 per cent in Malaysia and 90 per cent in China.</w:t>
      </w:r>
    </w:p>
    <w:p w:rsidR="0050382E" w:rsidRPr="00B311C2" w:rsidRDefault="005D0E4C" w:rsidP="00B311C2">
      <w:pPr>
        <w:pStyle w:val="Style4"/>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Offset local sourcing (DOLS/IOLS) is a generic term for a broad range of industrial and commercial compensation practices required to sell high-cost and high-visibility items. Nowadays, at least 50 countries officially require offset agreements in the defence (for example, fighter aircraft, helicopters and generic defence procurements) and infrastructural (for example, commercial aircraft, telecommunication systems, steel production plants and so on) sectors. A number of other countries are planning to adopt these practices. In many other nations, offset requirements are applied on a strictly informal basis. This allows us to increase the number of the countries that commonly adopt these kinds of policies to around 180.</w:t>
      </w:r>
    </w:p>
    <w:p w:rsidR="0050382E" w:rsidRPr="00B311C2" w:rsidRDefault="005D0E4C" w:rsidP="00B311C2">
      <w:pPr>
        <w:pStyle w:val="Style4"/>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A basic classification of these agreements identifies a 'direct offset' and 'indirect offset' modality. The former includes all of the compensatory activities that provide outputs that are directly related to the product being sold. The latter is comprised of activities that are not related to that type of production.</w:t>
      </w:r>
    </w:p>
    <w:p w:rsidR="00F215FE" w:rsidRDefault="005D0E4C" w:rsidP="00B311C2">
      <w:pPr>
        <w:pStyle w:val="Style4"/>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Offset agreements often involve relevant technology transfer activity. A local industry may not be qualified to provide the goods required to accomplish its obligations. In that event, the seller must provide suitable assistance to guarantee the transfer of all of the necessary technologies and skills. Technology transfer can be performed via co</w:t>
      </w:r>
      <w:r w:rsidRPr="00B311C2">
        <w:rPr>
          <w:rStyle w:val="CharacterStyle1"/>
          <w:rFonts w:ascii="Times New Roman" w:hAnsi="Times New Roman" w:cs="Times New Roman"/>
          <w:sz w:val="24"/>
          <w:szCs w:val="24"/>
        </w:rPr>
        <w:softHyphen/>
        <w:t>production, licensed production, subcontractor production or the establishment of research and development departments in the host country.</w:t>
      </w:r>
    </w:p>
    <w:p w:rsidR="00556F2B" w:rsidRDefault="00556F2B" w:rsidP="00B311C2">
      <w:pPr>
        <w:pStyle w:val="Style4"/>
        <w:spacing w:line="240" w:lineRule="auto"/>
        <w:rPr>
          <w:rStyle w:val="CharacterStyle1"/>
          <w:rFonts w:ascii="Times New Roman" w:hAnsi="Times New Roman" w:cs="Times New Roman"/>
          <w:sz w:val="24"/>
          <w:szCs w:val="24"/>
        </w:rPr>
      </w:pPr>
    </w:p>
    <w:p w:rsidR="00556F2B" w:rsidRDefault="00556F2B" w:rsidP="00B311C2">
      <w:pPr>
        <w:pStyle w:val="Style4"/>
        <w:spacing w:line="240" w:lineRule="auto"/>
        <w:rPr>
          <w:rStyle w:val="CharacterStyle1"/>
          <w:rFonts w:ascii="Times New Roman" w:hAnsi="Times New Roman" w:cs="Times New Roman"/>
          <w:sz w:val="24"/>
          <w:szCs w:val="24"/>
        </w:rPr>
      </w:pPr>
    </w:p>
    <w:p w:rsidR="00556F2B" w:rsidRPr="00B311C2" w:rsidRDefault="00556F2B" w:rsidP="00B311C2">
      <w:pPr>
        <w:pStyle w:val="Style4"/>
        <w:spacing w:line="240" w:lineRule="auto"/>
        <w:rPr>
          <w:rStyle w:val="CharacterStyle1"/>
          <w:rFonts w:ascii="Times New Roman" w:hAnsi="Times New Roman" w:cs="Times New Roman"/>
          <w:sz w:val="24"/>
          <w:szCs w:val="24"/>
        </w:rPr>
      </w:pPr>
    </w:p>
    <w:p w:rsidR="0050382E" w:rsidRPr="00556F2B" w:rsidRDefault="005D0E4C" w:rsidP="00556F2B">
      <w:pPr>
        <w:pStyle w:val="Style2"/>
        <w:spacing w:before="360" w:after="240" w:line="240" w:lineRule="auto"/>
        <w:rPr>
          <w:rStyle w:val="CharacterStyle1"/>
          <w:rFonts w:ascii="Tahoma" w:hAnsi="Tahoma" w:cs="Tahoma"/>
          <w:sz w:val="24"/>
          <w:szCs w:val="24"/>
        </w:rPr>
      </w:pPr>
      <w:r w:rsidRPr="00556F2B">
        <w:rPr>
          <w:rStyle w:val="CharacterStyle1"/>
          <w:rFonts w:ascii="Tahoma" w:hAnsi="Tahoma" w:cs="Tahoma"/>
          <w:sz w:val="24"/>
          <w:szCs w:val="24"/>
        </w:rPr>
        <w:lastRenderedPageBreak/>
        <w:t>11.1.3 OTHER TYPES OF COUNTERTRADE</w:t>
      </w:r>
    </w:p>
    <w:p w:rsidR="0050382E" w:rsidRPr="00B311C2" w:rsidRDefault="005D0E4C" w:rsidP="00556F2B">
      <w:pPr>
        <w:pStyle w:val="Style1"/>
        <w:adjustRightInd/>
        <w:ind w:right="288"/>
        <w:jc w:val="both"/>
        <w:rPr>
          <w:sz w:val="24"/>
          <w:szCs w:val="24"/>
        </w:rPr>
      </w:pPr>
      <w:r w:rsidRPr="00B311C2">
        <w:rPr>
          <w:sz w:val="24"/>
          <w:szCs w:val="24"/>
        </w:rPr>
        <w:t>The main countertrade forms described in academic writing are bartering (with 'single bartering', 'switch trading' and 'clearing arrangements' as sub-typologies of this form), buy-back, counter-purchasing and offset countertrading. Table 11.1 summarises the main features of each form according to the relevant literature.</w:t>
      </w:r>
    </w:p>
    <w:p w:rsidR="00556F2B" w:rsidRDefault="00556F2B" w:rsidP="00B311C2">
      <w:pPr>
        <w:pStyle w:val="Style1"/>
        <w:adjustRightInd/>
        <w:ind w:left="1584" w:right="1080" w:hanging="1224"/>
        <w:rPr>
          <w:b/>
          <w:bCs/>
          <w:sz w:val="24"/>
          <w:szCs w:val="24"/>
        </w:rPr>
      </w:pPr>
    </w:p>
    <w:p w:rsidR="00556F2B" w:rsidRDefault="00556F2B" w:rsidP="00B311C2">
      <w:pPr>
        <w:pStyle w:val="Style1"/>
        <w:adjustRightInd/>
        <w:ind w:left="1584" w:right="1080" w:hanging="1224"/>
        <w:rPr>
          <w:b/>
          <w:bCs/>
          <w:sz w:val="24"/>
          <w:szCs w:val="24"/>
        </w:rPr>
      </w:pPr>
    </w:p>
    <w:p w:rsidR="0050382E" w:rsidRDefault="005D0E4C" w:rsidP="00B311C2">
      <w:pPr>
        <w:pStyle w:val="Style1"/>
        <w:adjustRightInd/>
        <w:ind w:left="1584" w:right="1080" w:hanging="1224"/>
        <w:rPr>
          <w:b/>
          <w:bCs/>
          <w:sz w:val="24"/>
          <w:szCs w:val="24"/>
        </w:rPr>
      </w:pPr>
      <w:r w:rsidRPr="00B311C2">
        <w:rPr>
          <w:b/>
          <w:bCs/>
          <w:sz w:val="24"/>
          <w:szCs w:val="24"/>
        </w:rPr>
        <w:t xml:space="preserve">Table 11.1 </w:t>
      </w:r>
      <w:r w:rsidR="00F21B52" w:rsidRPr="00B311C2">
        <w:rPr>
          <w:b/>
          <w:bCs/>
          <w:sz w:val="24"/>
          <w:szCs w:val="24"/>
          <w:lang w:val="id-ID"/>
        </w:rPr>
        <w:tab/>
      </w:r>
      <w:r w:rsidRPr="00B311C2">
        <w:rPr>
          <w:b/>
          <w:bCs/>
          <w:sz w:val="24"/>
          <w:szCs w:val="24"/>
        </w:rPr>
        <w:t>Major forms of countertrading: main features (based on the literature review)</w:t>
      </w:r>
    </w:p>
    <w:p w:rsidR="00556F2B" w:rsidRPr="00B311C2" w:rsidRDefault="00556F2B" w:rsidP="00B311C2">
      <w:pPr>
        <w:pStyle w:val="Style1"/>
        <w:adjustRightInd/>
        <w:ind w:left="1584" w:right="1080" w:hanging="1224"/>
        <w:rPr>
          <w:b/>
          <w:bCs/>
          <w:sz w:val="24"/>
          <w:szCs w:val="24"/>
        </w:rPr>
      </w:pPr>
    </w:p>
    <w:tbl>
      <w:tblPr>
        <w:tblW w:w="8640" w:type="dxa"/>
        <w:tblInd w:w="-5" w:type="dxa"/>
        <w:tblLayout w:type="fixed"/>
        <w:tblCellMar>
          <w:left w:w="0" w:type="dxa"/>
          <w:right w:w="0" w:type="dxa"/>
        </w:tblCellMar>
        <w:tblLook w:val="0000" w:firstRow="0" w:lastRow="0" w:firstColumn="0" w:lastColumn="0" w:noHBand="0" w:noVBand="0"/>
      </w:tblPr>
      <w:tblGrid>
        <w:gridCol w:w="1466"/>
        <w:gridCol w:w="1054"/>
        <w:gridCol w:w="1620"/>
        <w:gridCol w:w="1530"/>
        <w:gridCol w:w="1350"/>
        <w:gridCol w:w="1620"/>
      </w:tblGrid>
      <w:tr w:rsidR="00F21B52" w:rsidRPr="00B311C2" w:rsidTr="008F1958">
        <w:trPr>
          <w:cantSplit/>
          <w:trHeight w:hRule="exact" w:val="677"/>
        </w:trPr>
        <w:tc>
          <w:tcPr>
            <w:tcW w:w="1466" w:type="dxa"/>
            <w:tcBorders>
              <w:top w:val="single" w:sz="4" w:space="0" w:color="auto"/>
              <w:left w:val="single" w:sz="4" w:space="0" w:color="auto"/>
              <w:bottom w:val="single" w:sz="4" w:space="0" w:color="auto"/>
              <w:right w:val="single" w:sz="4" w:space="0" w:color="auto"/>
            </w:tcBorders>
            <w:vAlign w:val="center"/>
          </w:tcPr>
          <w:p w:rsidR="00F21B52" w:rsidRPr="00556F2B" w:rsidRDefault="00F21B52" w:rsidP="00B311C2">
            <w:pPr>
              <w:pStyle w:val="Style1"/>
              <w:adjustRightInd/>
              <w:jc w:val="center"/>
              <w:rPr>
                <w:rFonts w:ascii="Tahoma" w:hAnsi="Tahoma" w:cs="Tahoma"/>
                <w:sz w:val="18"/>
                <w:szCs w:val="24"/>
              </w:rPr>
            </w:pPr>
          </w:p>
        </w:tc>
        <w:tc>
          <w:tcPr>
            <w:tcW w:w="1054" w:type="dxa"/>
            <w:tcBorders>
              <w:top w:val="single" w:sz="4" w:space="0" w:color="auto"/>
              <w:left w:val="single" w:sz="4" w:space="0" w:color="auto"/>
              <w:bottom w:val="single" w:sz="4" w:space="0" w:color="auto"/>
              <w:right w:val="single" w:sz="4" w:space="0" w:color="auto"/>
            </w:tcBorders>
            <w:vAlign w:val="center"/>
          </w:tcPr>
          <w:p w:rsidR="00F21B52" w:rsidRPr="00556F2B" w:rsidRDefault="00F21B52" w:rsidP="00B311C2">
            <w:pPr>
              <w:pStyle w:val="Style1"/>
              <w:adjustRightInd/>
              <w:jc w:val="center"/>
              <w:rPr>
                <w:rFonts w:ascii="Tahoma" w:hAnsi="Tahoma" w:cs="Tahoma"/>
                <w:b/>
                <w:bCs/>
                <w:sz w:val="18"/>
                <w:szCs w:val="24"/>
              </w:rPr>
            </w:pPr>
            <w:r w:rsidRPr="00556F2B">
              <w:rPr>
                <w:rFonts w:ascii="Tahoma" w:hAnsi="Tahoma" w:cs="Tahoma"/>
                <w:b/>
                <w:bCs/>
                <w:sz w:val="18"/>
                <w:szCs w:val="24"/>
              </w:rPr>
              <w:t>Currency</w:t>
            </w:r>
          </w:p>
        </w:tc>
        <w:tc>
          <w:tcPr>
            <w:tcW w:w="1620" w:type="dxa"/>
            <w:tcBorders>
              <w:top w:val="single" w:sz="4" w:space="0" w:color="auto"/>
              <w:left w:val="single" w:sz="4" w:space="0" w:color="auto"/>
              <w:bottom w:val="single" w:sz="4" w:space="0" w:color="auto"/>
              <w:right w:val="single" w:sz="4" w:space="0" w:color="auto"/>
            </w:tcBorders>
            <w:vAlign w:val="center"/>
          </w:tcPr>
          <w:p w:rsidR="00F21B52" w:rsidRPr="00556F2B" w:rsidRDefault="00F21B52" w:rsidP="00B311C2">
            <w:pPr>
              <w:pStyle w:val="Style5"/>
              <w:ind w:left="103"/>
              <w:jc w:val="center"/>
              <w:rPr>
                <w:rStyle w:val="CharacterStyle1"/>
                <w:rFonts w:ascii="Tahoma" w:hAnsi="Tahoma" w:cs="Tahoma"/>
                <w:b/>
                <w:bCs/>
                <w:szCs w:val="24"/>
              </w:rPr>
            </w:pPr>
            <w:r w:rsidRPr="00556F2B">
              <w:rPr>
                <w:rStyle w:val="CharacterStyle1"/>
                <w:rFonts w:ascii="Tahoma" w:hAnsi="Tahoma" w:cs="Tahoma"/>
                <w:b/>
                <w:bCs/>
                <w:szCs w:val="24"/>
              </w:rPr>
              <w:t>Compensatory</w:t>
            </w:r>
          </w:p>
          <w:p w:rsidR="00F21B52" w:rsidRPr="00556F2B" w:rsidRDefault="00F21B52" w:rsidP="00B311C2">
            <w:pPr>
              <w:pStyle w:val="Style5"/>
              <w:ind w:left="103"/>
              <w:jc w:val="center"/>
              <w:rPr>
                <w:rStyle w:val="CharacterStyle1"/>
                <w:rFonts w:ascii="Tahoma" w:hAnsi="Tahoma" w:cs="Tahoma"/>
                <w:b/>
                <w:bCs/>
                <w:szCs w:val="24"/>
              </w:rPr>
            </w:pPr>
            <w:r w:rsidRPr="00556F2B">
              <w:rPr>
                <w:rStyle w:val="CharacterStyle1"/>
                <w:rFonts w:ascii="Tahoma" w:hAnsi="Tahoma" w:cs="Tahoma"/>
                <w:b/>
                <w:bCs/>
                <w:szCs w:val="24"/>
              </w:rPr>
              <w:t>activity</w:t>
            </w:r>
          </w:p>
        </w:tc>
        <w:tc>
          <w:tcPr>
            <w:tcW w:w="1530" w:type="dxa"/>
            <w:tcBorders>
              <w:top w:val="single" w:sz="4" w:space="0" w:color="auto"/>
              <w:left w:val="single" w:sz="4" w:space="0" w:color="auto"/>
              <w:bottom w:val="single" w:sz="4" w:space="0" w:color="auto"/>
              <w:right w:val="single" w:sz="4" w:space="0" w:color="auto"/>
            </w:tcBorders>
            <w:vAlign w:val="center"/>
          </w:tcPr>
          <w:p w:rsidR="00F21B52" w:rsidRPr="00556F2B" w:rsidRDefault="00F21B52" w:rsidP="00B311C2">
            <w:pPr>
              <w:pStyle w:val="Style5"/>
              <w:ind w:left="94"/>
              <w:jc w:val="center"/>
              <w:rPr>
                <w:rStyle w:val="CharacterStyle1"/>
                <w:rFonts w:ascii="Tahoma" w:hAnsi="Tahoma" w:cs="Tahoma"/>
                <w:b/>
                <w:bCs/>
                <w:szCs w:val="24"/>
              </w:rPr>
            </w:pPr>
            <w:r w:rsidRPr="00556F2B">
              <w:rPr>
                <w:rStyle w:val="CharacterStyle1"/>
                <w:rFonts w:ascii="Tahoma" w:hAnsi="Tahoma" w:cs="Tahoma"/>
                <w:b/>
                <w:bCs/>
                <w:szCs w:val="24"/>
              </w:rPr>
              <w:t>Typical</w:t>
            </w:r>
          </w:p>
          <w:p w:rsidR="00F21B52" w:rsidRPr="00556F2B" w:rsidRDefault="00F21B52" w:rsidP="00B311C2">
            <w:pPr>
              <w:pStyle w:val="Style5"/>
              <w:ind w:left="94"/>
              <w:jc w:val="center"/>
              <w:rPr>
                <w:rStyle w:val="CharacterStyle1"/>
                <w:rFonts w:ascii="Tahoma" w:hAnsi="Tahoma" w:cs="Tahoma"/>
                <w:b/>
                <w:bCs/>
                <w:szCs w:val="24"/>
              </w:rPr>
            </w:pPr>
            <w:r w:rsidRPr="00556F2B">
              <w:rPr>
                <w:rStyle w:val="CharacterStyle1"/>
                <w:rFonts w:ascii="Tahoma" w:hAnsi="Tahoma" w:cs="Tahoma"/>
                <w:b/>
                <w:bCs/>
                <w:szCs w:val="24"/>
              </w:rPr>
              <w:t>agreement</w:t>
            </w:r>
          </w:p>
          <w:p w:rsidR="00F21B52" w:rsidRPr="00556F2B" w:rsidRDefault="00F21B52" w:rsidP="00B311C2">
            <w:pPr>
              <w:pStyle w:val="Style5"/>
              <w:ind w:left="94"/>
              <w:jc w:val="center"/>
              <w:rPr>
                <w:rStyle w:val="CharacterStyle1"/>
                <w:rFonts w:ascii="Tahoma" w:hAnsi="Tahoma" w:cs="Tahoma"/>
                <w:b/>
                <w:bCs/>
                <w:szCs w:val="24"/>
              </w:rPr>
            </w:pPr>
            <w:r w:rsidRPr="00556F2B">
              <w:rPr>
                <w:rStyle w:val="CharacterStyle1"/>
                <w:rFonts w:ascii="Tahoma" w:hAnsi="Tahoma" w:cs="Tahoma"/>
                <w:b/>
                <w:bCs/>
                <w:szCs w:val="24"/>
              </w:rPr>
              <w:t>duration</w:t>
            </w:r>
          </w:p>
        </w:tc>
        <w:tc>
          <w:tcPr>
            <w:tcW w:w="1350" w:type="dxa"/>
            <w:tcBorders>
              <w:top w:val="single" w:sz="4" w:space="0" w:color="auto"/>
              <w:left w:val="single" w:sz="4" w:space="0" w:color="auto"/>
              <w:bottom w:val="single" w:sz="4" w:space="0" w:color="auto"/>
              <w:right w:val="single" w:sz="4" w:space="0" w:color="auto"/>
            </w:tcBorders>
            <w:vAlign w:val="center"/>
          </w:tcPr>
          <w:p w:rsidR="00F21B52" w:rsidRPr="00556F2B" w:rsidRDefault="00F21B52" w:rsidP="00B311C2">
            <w:pPr>
              <w:pStyle w:val="Style1"/>
              <w:adjustRightInd/>
              <w:jc w:val="center"/>
              <w:rPr>
                <w:rFonts w:ascii="Tahoma" w:hAnsi="Tahoma" w:cs="Tahoma"/>
                <w:b/>
                <w:bCs/>
                <w:sz w:val="18"/>
                <w:szCs w:val="24"/>
              </w:rPr>
            </w:pPr>
            <w:r w:rsidRPr="00556F2B">
              <w:rPr>
                <w:rFonts w:ascii="Tahoma" w:hAnsi="Tahoma" w:cs="Tahoma"/>
                <w:b/>
                <w:bCs/>
                <w:sz w:val="18"/>
                <w:szCs w:val="24"/>
              </w:rPr>
              <w:t>Number</w:t>
            </w:r>
          </w:p>
          <w:p w:rsidR="00F21B52" w:rsidRPr="00556F2B" w:rsidRDefault="00F21B52" w:rsidP="00B311C2">
            <w:pPr>
              <w:pStyle w:val="Style1"/>
              <w:adjustRightInd/>
              <w:jc w:val="center"/>
              <w:rPr>
                <w:rFonts w:ascii="Tahoma" w:hAnsi="Tahoma" w:cs="Tahoma"/>
                <w:b/>
                <w:bCs/>
                <w:sz w:val="18"/>
                <w:szCs w:val="24"/>
              </w:rPr>
            </w:pPr>
            <w:r w:rsidRPr="00556F2B">
              <w:rPr>
                <w:rFonts w:ascii="Tahoma" w:hAnsi="Tahoma" w:cs="Tahoma"/>
                <w:b/>
                <w:bCs/>
                <w:sz w:val="18"/>
                <w:szCs w:val="24"/>
              </w:rPr>
              <w:t>of actors</w:t>
            </w:r>
          </w:p>
          <w:p w:rsidR="00F21B52" w:rsidRPr="00556F2B" w:rsidRDefault="00F21B52" w:rsidP="00B311C2">
            <w:pPr>
              <w:pStyle w:val="Style1"/>
              <w:adjustRightInd/>
              <w:jc w:val="center"/>
              <w:rPr>
                <w:rFonts w:ascii="Tahoma" w:hAnsi="Tahoma" w:cs="Tahoma"/>
                <w:b/>
                <w:bCs/>
                <w:sz w:val="18"/>
                <w:szCs w:val="24"/>
              </w:rPr>
            </w:pPr>
            <w:r w:rsidRPr="00556F2B">
              <w:rPr>
                <w:rFonts w:ascii="Tahoma" w:hAnsi="Tahoma" w:cs="Tahoma"/>
                <w:b/>
                <w:bCs/>
                <w:sz w:val="18"/>
                <w:szCs w:val="24"/>
              </w:rPr>
              <w:t>involved</w:t>
            </w:r>
          </w:p>
        </w:tc>
        <w:tc>
          <w:tcPr>
            <w:tcW w:w="1620" w:type="dxa"/>
            <w:tcBorders>
              <w:top w:val="single" w:sz="4" w:space="0" w:color="auto"/>
              <w:left w:val="single" w:sz="4" w:space="0" w:color="auto"/>
              <w:bottom w:val="single" w:sz="4" w:space="0" w:color="auto"/>
              <w:right w:val="single" w:sz="4" w:space="0" w:color="auto"/>
            </w:tcBorders>
            <w:vAlign w:val="center"/>
          </w:tcPr>
          <w:p w:rsidR="00F21B52" w:rsidRPr="00556F2B" w:rsidRDefault="00F21B52" w:rsidP="00B311C2">
            <w:pPr>
              <w:pStyle w:val="Style1"/>
              <w:adjustRightInd/>
              <w:jc w:val="center"/>
              <w:rPr>
                <w:rFonts w:ascii="Tahoma" w:hAnsi="Tahoma" w:cs="Tahoma"/>
                <w:b/>
                <w:bCs/>
                <w:sz w:val="18"/>
                <w:szCs w:val="24"/>
              </w:rPr>
            </w:pPr>
            <w:r w:rsidRPr="00556F2B">
              <w:rPr>
                <w:rFonts w:ascii="Tahoma" w:hAnsi="Tahoma" w:cs="Tahoma"/>
                <w:b/>
                <w:bCs/>
                <w:sz w:val="18"/>
                <w:szCs w:val="24"/>
              </w:rPr>
              <w:t>Sub-typologies</w:t>
            </w:r>
          </w:p>
        </w:tc>
      </w:tr>
      <w:tr w:rsidR="00F21B52" w:rsidRPr="00B311C2" w:rsidTr="008F1958">
        <w:trPr>
          <w:trHeight w:val="874"/>
        </w:trPr>
        <w:tc>
          <w:tcPr>
            <w:tcW w:w="1466" w:type="dxa"/>
            <w:tcBorders>
              <w:top w:val="single" w:sz="4" w:space="0" w:color="auto"/>
              <w:left w:val="single" w:sz="4" w:space="0" w:color="auto"/>
              <w:right w:val="single" w:sz="4" w:space="0" w:color="auto"/>
            </w:tcBorders>
          </w:tcPr>
          <w:p w:rsidR="00F21B52" w:rsidRPr="00556F2B" w:rsidRDefault="00F21B52" w:rsidP="008F1958">
            <w:pPr>
              <w:pStyle w:val="Style5"/>
              <w:spacing w:before="120" w:after="120"/>
              <w:ind w:left="49"/>
              <w:rPr>
                <w:rStyle w:val="CharacterStyle1"/>
                <w:rFonts w:ascii="Tahoma" w:hAnsi="Tahoma" w:cs="Tahoma"/>
                <w:szCs w:val="24"/>
              </w:rPr>
            </w:pPr>
            <w:r w:rsidRPr="00556F2B">
              <w:rPr>
                <w:rStyle w:val="CharacterStyle1"/>
                <w:rFonts w:ascii="Tahoma" w:hAnsi="Tahoma" w:cs="Tahoma"/>
                <w:szCs w:val="24"/>
              </w:rPr>
              <w:t>Bartering</w:t>
            </w:r>
          </w:p>
        </w:tc>
        <w:tc>
          <w:tcPr>
            <w:tcW w:w="1054" w:type="dxa"/>
            <w:tcBorders>
              <w:top w:val="single" w:sz="4" w:space="0" w:color="auto"/>
              <w:left w:val="single" w:sz="4" w:space="0" w:color="auto"/>
              <w:right w:val="single" w:sz="4" w:space="0" w:color="auto"/>
            </w:tcBorders>
          </w:tcPr>
          <w:p w:rsidR="00F21B52" w:rsidRPr="00556F2B" w:rsidRDefault="00F21B52" w:rsidP="008F1958">
            <w:pPr>
              <w:pStyle w:val="Style5"/>
              <w:spacing w:before="120" w:after="120"/>
              <w:ind w:left="49"/>
              <w:rPr>
                <w:rStyle w:val="CharacterStyle1"/>
                <w:rFonts w:ascii="Tahoma" w:hAnsi="Tahoma" w:cs="Tahoma"/>
                <w:szCs w:val="24"/>
              </w:rPr>
            </w:pPr>
            <w:r w:rsidRPr="00556F2B">
              <w:rPr>
                <w:rStyle w:val="CharacterStyle1"/>
                <w:rFonts w:ascii="Tahoma" w:hAnsi="Tahoma" w:cs="Tahoma"/>
                <w:szCs w:val="24"/>
              </w:rPr>
              <w:t>Typically</w:t>
            </w:r>
            <w:r w:rsidRPr="00556F2B">
              <w:rPr>
                <w:rStyle w:val="CharacterStyle1"/>
                <w:rFonts w:ascii="Tahoma" w:hAnsi="Tahoma" w:cs="Tahoma"/>
                <w:szCs w:val="24"/>
                <w:lang w:val="id-ID"/>
              </w:rPr>
              <w:t xml:space="preserve"> </w:t>
            </w:r>
            <w:r w:rsidRPr="00556F2B">
              <w:rPr>
                <w:rStyle w:val="CharacterStyle1"/>
                <w:rFonts w:ascii="Tahoma" w:hAnsi="Tahoma" w:cs="Tahoma"/>
                <w:szCs w:val="24"/>
              </w:rPr>
              <w:t>not used</w:t>
            </w:r>
          </w:p>
        </w:tc>
        <w:tc>
          <w:tcPr>
            <w:tcW w:w="1620" w:type="dxa"/>
            <w:tcBorders>
              <w:top w:val="single" w:sz="4" w:space="0" w:color="auto"/>
              <w:left w:val="single" w:sz="4" w:space="0" w:color="auto"/>
              <w:right w:val="single" w:sz="4" w:space="0" w:color="auto"/>
            </w:tcBorders>
          </w:tcPr>
          <w:p w:rsidR="00F21B52" w:rsidRPr="00556F2B" w:rsidRDefault="00F21B52" w:rsidP="008F1958">
            <w:pPr>
              <w:pStyle w:val="Style5"/>
              <w:spacing w:before="120" w:after="120"/>
              <w:ind w:left="40"/>
              <w:rPr>
                <w:rStyle w:val="CharacterStyle1"/>
                <w:rFonts w:ascii="Tahoma" w:hAnsi="Tahoma" w:cs="Tahoma"/>
                <w:szCs w:val="24"/>
              </w:rPr>
            </w:pPr>
            <w:r w:rsidRPr="00556F2B">
              <w:rPr>
                <w:rStyle w:val="CharacterStyle1"/>
                <w:rFonts w:ascii="Tahoma" w:hAnsi="Tahoma" w:cs="Tahoma"/>
                <w:szCs w:val="24"/>
              </w:rPr>
              <w:t>Purchase of</w:t>
            </w:r>
            <w:r w:rsidRPr="00556F2B">
              <w:rPr>
                <w:rStyle w:val="CharacterStyle1"/>
                <w:rFonts w:ascii="Tahoma" w:hAnsi="Tahoma" w:cs="Tahoma"/>
                <w:szCs w:val="24"/>
                <w:lang w:val="id-ID"/>
              </w:rPr>
              <w:t xml:space="preserve"> </w:t>
            </w:r>
            <w:r w:rsidRPr="00556F2B">
              <w:rPr>
                <w:rStyle w:val="CharacterStyle1"/>
                <w:rFonts w:ascii="Tahoma" w:hAnsi="Tahoma" w:cs="Tahoma"/>
                <w:szCs w:val="24"/>
              </w:rPr>
              <w:t>products (not</w:t>
            </w:r>
            <w:r w:rsidRPr="00556F2B">
              <w:rPr>
                <w:rStyle w:val="CharacterStyle1"/>
                <w:rFonts w:ascii="Tahoma" w:hAnsi="Tahoma" w:cs="Tahoma"/>
                <w:szCs w:val="24"/>
                <w:lang w:val="id-ID"/>
              </w:rPr>
              <w:t xml:space="preserve"> </w:t>
            </w:r>
            <w:r w:rsidRPr="00556F2B">
              <w:rPr>
                <w:rStyle w:val="CharacterStyle1"/>
                <w:rFonts w:ascii="Tahoma" w:hAnsi="Tahoma" w:cs="Tahoma"/>
                <w:szCs w:val="24"/>
              </w:rPr>
              <w:t>related to</w:t>
            </w:r>
            <w:r w:rsidRPr="00556F2B">
              <w:rPr>
                <w:rStyle w:val="CharacterStyle1"/>
                <w:rFonts w:ascii="Tahoma" w:hAnsi="Tahoma" w:cs="Tahoma"/>
                <w:szCs w:val="24"/>
                <w:lang w:val="id-ID"/>
              </w:rPr>
              <w:t xml:space="preserve"> </w:t>
            </w:r>
            <w:r w:rsidRPr="00556F2B">
              <w:rPr>
                <w:rStyle w:val="CharacterStyle1"/>
                <w:rFonts w:ascii="Tahoma" w:hAnsi="Tahoma" w:cs="Tahoma"/>
                <w:szCs w:val="24"/>
              </w:rPr>
              <w:t>the primary</w:t>
            </w:r>
            <w:r w:rsidRPr="00556F2B">
              <w:rPr>
                <w:rStyle w:val="CharacterStyle1"/>
                <w:rFonts w:ascii="Tahoma" w:hAnsi="Tahoma" w:cs="Tahoma"/>
                <w:szCs w:val="24"/>
                <w:lang w:val="id-ID"/>
              </w:rPr>
              <w:t xml:space="preserve"> </w:t>
            </w:r>
            <w:r w:rsidRPr="00556F2B">
              <w:rPr>
                <w:rStyle w:val="CharacterStyle1"/>
                <w:rFonts w:ascii="Tahoma" w:hAnsi="Tahoma" w:cs="Tahoma"/>
                <w:szCs w:val="24"/>
              </w:rPr>
              <w:t>transaction)</w:t>
            </w:r>
          </w:p>
        </w:tc>
        <w:tc>
          <w:tcPr>
            <w:tcW w:w="1530" w:type="dxa"/>
            <w:tcBorders>
              <w:top w:val="single" w:sz="4" w:space="0" w:color="auto"/>
              <w:left w:val="single" w:sz="4" w:space="0" w:color="auto"/>
              <w:right w:val="single" w:sz="4" w:space="0" w:color="auto"/>
            </w:tcBorders>
          </w:tcPr>
          <w:p w:rsidR="00F21B52" w:rsidRPr="00556F2B" w:rsidRDefault="00F21B52" w:rsidP="008F1958">
            <w:pPr>
              <w:pStyle w:val="Style5"/>
              <w:spacing w:before="120" w:after="120"/>
              <w:ind w:left="40"/>
              <w:rPr>
                <w:rStyle w:val="CharacterStyle1"/>
                <w:rFonts w:ascii="Tahoma" w:hAnsi="Tahoma" w:cs="Tahoma"/>
                <w:szCs w:val="24"/>
              </w:rPr>
            </w:pPr>
            <w:r w:rsidRPr="00556F2B">
              <w:rPr>
                <w:rStyle w:val="CharacterStyle1"/>
                <w:rFonts w:ascii="Tahoma" w:hAnsi="Tahoma" w:cs="Tahoma"/>
                <w:szCs w:val="24"/>
              </w:rPr>
              <w:t>Short term (a</w:t>
            </w:r>
            <w:r w:rsidRPr="00556F2B">
              <w:rPr>
                <w:rStyle w:val="CharacterStyle1"/>
                <w:rFonts w:ascii="Tahoma" w:hAnsi="Tahoma" w:cs="Tahoma"/>
                <w:szCs w:val="24"/>
                <w:lang w:val="id-ID"/>
              </w:rPr>
              <w:t xml:space="preserve"> </w:t>
            </w:r>
            <w:r w:rsidRPr="00556F2B">
              <w:rPr>
                <w:rStyle w:val="CharacterStyle1"/>
                <w:rFonts w:ascii="Tahoma" w:hAnsi="Tahoma" w:cs="Tahoma"/>
                <w:szCs w:val="24"/>
              </w:rPr>
              <w:t>few weeks/</w:t>
            </w:r>
            <w:r w:rsidRPr="00556F2B">
              <w:rPr>
                <w:rStyle w:val="CharacterStyle1"/>
                <w:rFonts w:ascii="Tahoma" w:hAnsi="Tahoma" w:cs="Tahoma"/>
                <w:szCs w:val="24"/>
                <w:lang w:val="id-ID"/>
              </w:rPr>
              <w:t xml:space="preserve"> </w:t>
            </w:r>
            <w:r w:rsidRPr="00556F2B">
              <w:rPr>
                <w:rStyle w:val="CharacterStyle1"/>
                <w:rFonts w:ascii="Tahoma" w:hAnsi="Tahoma" w:cs="Tahoma"/>
                <w:szCs w:val="24"/>
              </w:rPr>
              <w:t>months)</w:t>
            </w:r>
          </w:p>
        </w:tc>
        <w:tc>
          <w:tcPr>
            <w:tcW w:w="1350" w:type="dxa"/>
            <w:tcBorders>
              <w:top w:val="single" w:sz="4" w:space="0" w:color="auto"/>
              <w:left w:val="single" w:sz="4" w:space="0" w:color="auto"/>
              <w:right w:val="single" w:sz="4" w:space="0" w:color="auto"/>
            </w:tcBorders>
          </w:tcPr>
          <w:p w:rsidR="00F21B52" w:rsidRPr="00556F2B" w:rsidRDefault="00F21B52" w:rsidP="008F1958">
            <w:pPr>
              <w:pStyle w:val="Style5"/>
              <w:spacing w:before="120" w:after="120"/>
              <w:ind w:left="40"/>
              <w:rPr>
                <w:rStyle w:val="CharacterStyle1"/>
                <w:rFonts w:ascii="Tahoma" w:hAnsi="Tahoma" w:cs="Tahoma"/>
                <w:szCs w:val="24"/>
              </w:rPr>
            </w:pPr>
            <w:r w:rsidRPr="00556F2B">
              <w:rPr>
                <w:rStyle w:val="CharacterStyle1"/>
                <w:rFonts w:ascii="Tahoma" w:hAnsi="Tahoma" w:cs="Tahoma"/>
                <w:szCs w:val="24"/>
              </w:rPr>
              <w:t>Typically two</w:t>
            </w:r>
          </w:p>
        </w:tc>
        <w:tc>
          <w:tcPr>
            <w:tcW w:w="1620" w:type="dxa"/>
            <w:tcBorders>
              <w:top w:val="single" w:sz="4" w:space="0" w:color="auto"/>
              <w:left w:val="single" w:sz="4" w:space="0" w:color="auto"/>
              <w:right w:val="single" w:sz="4" w:space="0" w:color="auto"/>
            </w:tcBorders>
          </w:tcPr>
          <w:p w:rsidR="00F21B52" w:rsidRPr="00556F2B" w:rsidRDefault="00F21B52" w:rsidP="008F1958">
            <w:pPr>
              <w:pStyle w:val="Style5"/>
              <w:spacing w:before="120" w:after="120"/>
              <w:ind w:left="40"/>
              <w:rPr>
                <w:rStyle w:val="CharacterStyle1"/>
                <w:rFonts w:ascii="Tahoma" w:hAnsi="Tahoma" w:cs="Tahoma"/>
                <w:szCs w:val="24"/>
              </w:rPr>
            </w:pPr>
            <w:r w:rsidRPr="00556F2B">
              <w:rPr>
                <w:rStyle w:val="CharacterStyle1"/>
                <w:rFonts w:ascii="Tahoma" w:hAnsi="Tahoma" w:cs="Tahoma"/>
                <w:szCs w:val="24"/>
              </w:rPr>
              <w:t>Simple bartering</w:t>
            </w:r>
            <w:r w:rsidRPr="00556F2B">
              <w:rPr>
                <w:rStyle w:val="CharacterStyle1"/>
                <w:rFonts w:ascii="Tahoma" w:hAnsi="Tahoma" w:cs="Tahoma"/>
                <w:szCs w:val="24"/>
                <w:lang w:val="id-ID"/>
              </w:rPr>
              <w:t xml:space="preserve"> </w:t>
            </w:r>
            <w:r w:rsidRPr="00556F2B">
              <w:rPr>
                <w:rStyle w:val="CharacterStyle1"/>
                <w:rFonts w:ascii="Tahoma" w:hAnsi="Tahoma" w:cs="Tahoma"/>
                <w:szCs w:val="24"/>
              </w:rPr>
              <w:t>Switch trading</w:t>
            </w:r>
            <w:r w:rsidRPr="00556F2B">
              <w:rPr>
                <w:rStyle w:val="CharacterStyle1"/>
                <w:rFonts w:ascii="Tahoma" w:hAnsi="Tahoma" w:cs="Tahoma"/>
                <w:szCs w:val="24"/>
                <w:lang w:val="id-ID"/>
              </w:rPr>
              <w:t xml:space="preserve"> </w:t>
            </w:r>
            <w:r w:rsidRPr="00556F2B">
              <w:rPr>
                <w:rStyle w:val="CharacterStyle1"/>
                <w:rFonts w:ascii="Tahoma" w:hAnsi="Tahoma" w:cs="Tahoma"/>
                <w:szCs w:val="24"/>
              </w:rPr>
              <w:t>Clearing</w:t>
            </w:r>
            <w:r w:rsidRPr="00556F2B">
              <w:rPr>
                <w:rStyle w:val="CharacterStyle1"/>
                <w:rFonts w:ascii="Tahoma" w:hAnsi="Tahoma" w:cs="Tahoma"/>
                <w:szCs w:val="24"/>
                <w:lang w:val="id-ID"/>
              </w:rPr>
              <w:t xml:space="preserve"> </w:t>
            </w:r>
            <w:r w:rsidRPr="00556F2B">
              <w:rPr>
                <w:rStyle w:val="CharacterStyle1"/>
                <w:rFonts w:ascii="Tahoma" w:hAnsi="Tahoma" w:cs="Tahoma"/>
                <w:szCs w:val="24"/>
              </w:rPr>
              <w:t>arrangements</w:t>
            </w:r>
          </w:p>
        </w:tc>
      </w:tr>
      <w:tr w:rsidR="00F21B52" w:rsidRPr="00B311C2" w:rsidTr="008F1958">
        <w:trPr>
          <w:trHeight w:hRule="exact" w:val="1018"/>
        </w:trPr>
        <w:tc>
          <w:tcPr>
            <w:tcW w:w="1466" w:type="dxa"/>
            <w:tcBorders>
              <w:top w:val="single" w:sz="4" w:space="0" w:color="auto"/>
              <w:left w:val="single" w:sz="4" w:space="0" w:color="auto"/>
              <w:bottom w:val="single" w:sz="4" w:space="0" w:color="auto"/>
              <w:right w:val="single" w:sz="4" w:space="0" w:color="auto"/>
            </w:tcBorders>
          </w:tcPr>
          <w:p w:rsidR="00F21B52" w:rsidRPr="00556F2B" w:rsidRDefault="00F21B52" w:rsidP="008F1958">
            <w:pPr>
              <w:pStyle w:val="Style5"/>
              <w:spacing w:before="120" w:after="120"/>
              <w:ind w:left="49"/>
              <w:rPr>
                <w:rStyle w:val="CharacterStyle1"/>
                <w:rFonts w:ascii="Tahoma" w:hAnsi="Tahoma" w:cs="Tahoma"/>
                <w:szCs w:val="24"/>
              </w:rPr>
            </w:pPr>
            <w:r w:rsidRPr="00556F2B">
              <w:rPr>
                <w:rStyle w:val="CharacterStyle1"/>
                <w:rFonts w:ascii="Tahoma" w:hAnsi="Tahoma" w:cs="Tahoma"/>
                <w:szCs w:val="24"/>
              </w:rPr>
              <w:t>Buy-back</w:t>
            </w:r>
            <w:r w:rsidRPr="00556F2B">
              <w:rPr>
                <w:rStyle w:val="CharacterStyle1"/>
                <w:rFonts w:ascii="Tahoma" w:hAnsi="Tahoma" w:cs="Tahoma"/>
                <w:szCs w:val="24"/>
                <w:lang w:val="id-ID"/>
              </w:rPr>
              <w:t xml:space="preserve"> </w:t>
            </w:r>
            <w:r w:rsidRPr="00556F2B">
              <w:rPr>
                <w:rStyle w:val="CharacterStyle1"/>
                <w:rFonts w:ascii="Tahoma" w:hAnsi="Tahoma" w:cs="Tahoma"/>
                <w:szCs w:val="24"/>
              </w:rPr>
              <w:t>(industrial</w:t>
            </w:r>
          </w:p>
          <w:p w:rsidR="00F21B52" w:rsidRPr="00556F2B" w:rsidRDefault="00F21B52" w:rsidP="008F1958">
            <w:pPr>
              <w:pStyle w:val="Style5"/>
              <w:spacing w:before="120" w:after="120"/>
              <w:ind w:left="49"/>
              <w:rPr>
                <w:rStyle w:val="CharacterStyle1"/>
                <w:rFonts w:ascii="Tahoma" w:hAnsi="Tahoma" w:cs="Tahoma"/>
                <w:szCs w:val="24"/>
              </w:rPr>
            </w:pPr>
            <w:r w:rsidRPr="00556F2B">
              <w:rPr>
                <w:rStyle w:val="CharacterStyle1"/>
                <w:rFonts w:ascii="Tahoma" w:hAnsi="Tahoma" w:cs="Tahoma"/>
                <w:szCs w:val="24"/>
              </w:rPr>
              <w:t>Compensation)</w:t>
            </w:r>
          </w:p>
        </w:tc>
        <w:tc>
          <w:tcPr>
            <w:tcW w:w="1054" w:type="dxa"/>
            <w:tcBorders>
              <w:top w:val="single" w:sz="4" w:space="0" w:color="auto"/>
              <w:left w:val="single" w:sz="4" w:space="0" w:color="auto"/>
              <w:bottom w:val="single" w:sz="4" w:space="0" w:color="auto"/>
              <w:right w:val="single" w:sz="4" w:space="0" w:color="auto"/>
            </w:tcBorders>
          </w:tcPr>
          <w:p w:rsidR="00F21B52" w:rsidRPr="00556F2B" w:rsidRDefault="00F21B52" w:rsidP="008F1958">
            <w:pPr>
              <w:pStyle w:val="Style5"/>
              <w:spacing w:before="120" w:after="120"/>
              <w:ind w:left="49"/>
              <w:rPr>
                <w:rStyle w:val="CharacterStyle1"/>
                <w:rFonts w:ascii="Tahoma" w:hAnsi="Tahoma" w:cs="Tahoma"/>
                <w:szCs w:val="24"/>
              </w:rPr>
            </w:pPr>
            <w:r w:rsidRPr="00556F2B">
              <w:rPr>
                <w:rStyle w:val="CharacterStyle1"/>
                <w:rFonts w:ascii="Tahoma" w:hAnsi="Tahoma" w:cs="Tahoma"/>
                <w:szCs w:val="24"/>
              </w:rPr>
              <w:t>Used</w:t>
            </w:r>
          </w:p>
        </w:tc>
        <w:tc>
          <w:tcPr>
            <w:tcW w:w="1620" w:type="dxa"/>
            <w:tcBorders>
              <w:top w:val="single" w:sz="4" w:space="0" w:color="auto"/>
              <w:left w:val="single" w:sz="4" w:space="0" w:color="auto"/>
              <w:bottom w:val="single" w:sz="4" w:space="0" w:color="auto"/>
              <w:right w:val="single" w:sz="4" w:space="0" w:color="auto"/>
            </w:tcBorders>
          </w:tcPr>
          <w:p w:rsidR="00F21B52" w:rsidRPr="00556F2B" w:rsidRDefault="00F21B52" w:rsidP="008F1958">
            <w:pPr>
              <w:pStyle w:val="Style5"/>
              <w:spacing w:before="120" w:after="120"/>
              <w:ind w:left="40"/>
              <w:rPr>
                <w:rStyle w:val="CharacterStyle1"/>
                <w:rFonts w:ascii="Tahoma" w:hAnsi="Tahoma" w:cs="Tahoma"/>
                <w:szCs w:val="24"/>
              </w:rPr>
            </w:pPr>
            <w:r w:rsidRPr="00556F2B">
              <w:rPr>
                <w:rStyle w:val="CharacterStyle1"/>
                <w:rFonts w:ascii="Tahoma" w:hAnsi="Tahoma" w:cs="Tahoma"/>
                <w:szCs w:val="24"/>
              </w:rPr>
              <w:t>Purchase of</w:t>
            </w:r>
            <w:r w:rsidRPr="00556F2B">
              <w:rPr>
                <w:rStyle w:val="CharacterStyle1"/>
                <w:rFonts w:ascii="Tahoma" w:hAnsi="Tahoma" w:cs="Tahoma"/>
                <w:szCs w:val="24"/>
                <w:lang w:val="id-ID"/>
              </w:rPr>
              <w:t xml:space="preserve"> </w:t>
            </w:r>
            <w:r w:rsidRPr="00556F2B">
              <w:rPr>
                <w:rStyle w:val="CharacterStyle1"/>
                <w:rFonts w:ascii="Tahoma" w:hAnsi="Tahoma" w:cs="Tahoma"/>
                <w:szCs w:val="24"/>
              </w:rPr>
              <w:t>products (related</w:t>
            </w:r>
            <w:r w:rsidRPr="00556F2B">
              <w:rPr>
                <w:rStyle w:val="CharacterStyle1"/>
                <w:rFonts w:ascii="Tahoma" w:hAnsi="Tahoma" w:cs="Tahoma"/>
                <w:szCs w:val="24"/>
                <w:lang w:val="id-ID"/>
              </w:rPr>
              <w:t xml:space="preserve"> </w:t>
            </w:r>
            <w:r w:rsidRPr="00556F2B">
              <w:rPr>
                <w:rStyle w:val="CharacterStyle1"/>
                <w:rFonts w:ascii="Tahoma" w:hAnsi="Tahoma" w:cs="Tahoma"/>
                <w:szCs w:val="24"/>
              </w:rPr>
              <w:t>to the primary</w:t>
            </w:r>
            <w:r w:rsidR="00AE1C02" w:rsidRPr="00556F2B">
              <w:rPr>
                <w:rStyle w:val="CharacterStyle1"/>
                <w:rFonts w:ascii="Tahoma" w:hAnsi="Tahoma" w:cs="Tahoma"/>
                <w:szCs w:val="24"/>
                <w:lang w:val="id-ID"/>
              </w:rPr>
              <w:t xml:space="preserve"> </w:t>
            </w:r>
            <w:r w:rsidRPr="00556F2B">
              <w:rPr>
                <w:rStyle w:val="CharacterStyle1"/>
                <w:rFonts w:ascii="Tahoma" w:hAnsi="Tahoma" w:cs="Tahoma"/>
                <w:szCs w:val="24"/>
              </w:rPr>
              <w:t>transaction)</w:t>
            </w:r>
          </w:p>
        </w:tc>
        <w:tc>
          <w:tcPr>
            <w:tcW w:w="1530" w:type="dxa"/>
            <w:tcBorders>
              <w:top w:val="single" w:sz="4" w:space="0" w:color="auto"/>
              <w:left w:val="single" w:sz="4" w:space="0" w:color="auto"/>
              <w:bottom w:val="single" w:sz="4" w:space="0" w:color="auto"/>
              <w:right w:val="single" w:sz="4" w:space="0" w:color="auto"/>
            </w:tcBorders>
          </w:tcPr>
          <w:p w:rsidR="00F21B52" w:rsidRPr="00556F2B" w:rsidRDefault="00F21B52" w:rsidP="008F1958">
            <w:pPr>
              <w:pStyle w:val="Style5"/>
              <w:spacing w:before="120" w:after="120"/>
              <w:ind w:left="40"/>
              <w:rPr>
                <w:rStyle w:val="CharacterStyle1"/>
                <w:rFonts w:ascii="Tahoma" w:hAnsi="Tahoma" w:cs="Tahoma"/>
                <w:szCs w:val="24"/>
              </w:rPr>
            </w:pPr>
            <w:r w:rsidRPr="00556F2B">
              <w:rPr>
                <w:rStyle w:val="CharacterStyle1"/>
                <w:rFonts w:ascii="Tahoma" w:hAnsi="Tahoma" w:cs="Tahoma"/>
                <w:szCs w:val="24"/>
              </w:rPr>
              <w:t>Long term</w:t>
            </w:r>
            <w:r w:rsidRPr="00556F2B">
              <w:rPr>
                <w:rStyle w:val="CharacterStyle1"/>
                <w:rFonts w:ascii="Tahoma" w:hAnsi="Tahoma" w:cs="Tahoma"/>
                <w:szCs w:val="24"/>
                <w:lang w:val="id-ID"/>
              </w:rPr>
              <w:t xml:space="preserve"> </w:t>
            </w:r>
            <w:r w:rsidRPr="00556F2B">
              <w:rPr>
                <w:rStyle w:val="CharacterStyle1"/>
                <w:rFonts w:ascii="Tahoma" w:hAnsi="Tahoma" w:cs="Tahoma"/>
                <w:szCs w:val="24"/>
              </w:rPr>
              <w:t>(several years)</w:t>
            </w:r>
          </w:p>
        </w:tc>
        <w:tc>
          <w:tcPr>
            <w:tcW w:w="1350" w:type="dxa"/>
            <w:tcBorders>
              <w:top w:val="single" w:sz="4" w:space="0" w:color="auto"/>
              <w:left w:val="single" w:sz="4" w:space="0" w:color="auto"/>
              <w:bottom w:val="single" w:sz="4" w:space="0" w:color="auto"/>
              <w:right w:val="single" w:sz="4" w:space="0" w:color="auto"/>
            </w:tcBorders>
          </w:tcPr>
          <w:p w:rsidR="00F21B52" w:rsidRPr="00556F2B" w:rsidRDefault="00F21B52" w:rsidP="008F1958">
            <w:pPr>
              <w:pStyle w:val="Style5"/>
              <w:spacing w:before="120" w:after="120"/>
              <w:ind w:left="40"/>
              <w:rPr>
                <w:rStyle w:val="CharacterStyle1"/>
                <w:rFonts w:ascii="Tahoma" w:hAnsi="Tahoma" w:cs="Tahoma"/>
                <w:szCs w:val="24"/>
              </w:rPr>
            </w:pPr>
            <w:r w:rsidRPr="00556F2B">
              <w:rPr>
                <w:rStyle w:val="CharacterStyle1"/>
                <w:rFonts w:ascii="Tahoma" w:hAnsi="Tahoma" w:cs="Tahoma"/>
                <w:szCs w:val="24"/>
              </w:rPr>
              <w:t>Typically two</w:t>
            </w:r>
          </w:p>
        </w:tc>
        <w:tc>
          <w:tcPr>
            <w:tcW w:w="1620" w:type="dxa"/>
            <w:tcBorders>
              <w:top w:val="single" w:sz="4" w:space="0" w:color="auto"/>
              <w:left w:val="single" w:sz="4" w:space="0" w:color="auto"/>
              <w:bottom w:val="single" w:sz="4" w:space="0" w:color="auto"/>
              <w:right w:val="single" w:sz="4" w:space="0" w:color="auto"/>
            </w:tcBorders>
          </w:tcPr>
          <w:p w:rsidR="00F21B52" w:rsidRPr="00556F2B" w:rsidRDefault="00F21B52" w:rsidP="008F1958">
            <w:pPr>
              <w:pStyle w:val="Style5"/>
              <w:spacing w:before="120" w:after="120"/>
              <w:ind w:left="40"/>
              <w:rPr>
                <w:rStyle w:val="CharacterStyle1"/>
                <w:rFonts w:ascii="Tahoma" w:hAnsi="Tahoma" w:cs="Tahoma"/>
                <w:szCs w:val="24"/>
              </w:rPr>
            </w:pPr>
          </w:p>
        </w:tc>
      </w:tr>
      <w:tr w:rsidR="00F21B52" w:rsidRPr="00B311C2" w:rsidTr="008F1958">
        <w:trPr>
          <w:trHeight w:val="1061"/>
        </w:trPr>
        <w:tc>
          <w:tcPr>
            <w:tcW w:w="1466" w:type="dxa"/>
            <w:tcBorders>
              <w:top w:val="single" w:sz="4" w:space="0" w:color="auto"/>
              <w:left w:val="single" w:sz="4" w:space="0" w:color="auto"/>
              <w:right w:val="single" w:sz="4" w:space="0" w:color="auto"/>
            </w:tcBorders>
          </w:tcPr>
          <w:p w:rsidR="00F21B52" w:rsidRPr="00556F2B" w:rsidRDefault="00F21B52" w:rsidP="008F1958">
            <w:pPr>
              <w:pStyle w:val="Style5"/>
              <w:spacing w:before="120" w:after="120"/>
              <w:ind w:left="49"/>
              <w:rPr>
                <w:rStyle w:val="CharacterStyle1"/>
                <w:rFonts w:ascii="Tahoma" w:hAnsi="Tahoma" w:cs="Tahoma"/>
                <w:szCs w:val="24"/>
              </w:rPr>
            </w:pPr>
            <w:r w:rsidRPr="00556F2B">
              <w:rPr>
                <w:rStyle w:val="CharacterStyle1"/>
                <w:rFonts w:ascii="Tahoma" w:hAnsi="Tahoma" w:cs="Tahoma"/>
                <w:szCs w:val="24"/>
              </w:rPr>
              <w:t>Counterpurchase</w:t>
            </w:r>
            <w:r w:rsidRPr="00556F2B">
              <w:rPr>
                <w:rStyle w:val="CharacterStyle1"/>
                <w:rFonts w:ascii="Tahoma" w:hAnsi="Tahoma" w:cs="Tahoma"/>
                <w:szCs w:val="24"/>
                <w:lang w:val="id-ID"/>
              </w:rPr>
              <w:t xml:space="preserve"> </w:t>
            </w:r>
            <w:r w:rsidRPr="00556F2B">
              <w:rPr>
                <w:rStyle w:val="CharacterStyle1"/>
                <w:rFonts w:ascii="Tahoma" w:hAnsi="Tahoma" w:cs="Tahoma"/>
                <w:szCs w:val="24"/>
              </w:rPr>
              <w:t>(commercial</w:t>
            </w:r>
            <w:r w:rsidRPr="00556F2B">
              <w:rPr>
                <w:rStyle w:val="CharacterStyle1"/>
                <w:rFonts w:ascii="Tahoma" w:hAnsi="Tahoma" w:cs="Tahoma"/>
                <w:szCs w:val="24"/>
                <w:lang w:val="id-ID"/>
              </w:rPr>
              <w:t xml:space="preserve"> </w:t>
            </w:r>
            <w:r w:rsidRPr="00556F2B">
              <w:rPr>
                <w:rStyle w:val="CharacterStyle1"/>
                <w:rFonts w:ascii="Tahoma" w:hAnsi="Tahoma" w:cs="Tahoma"/>
                <w:szCs w:val="24"/>
              </w:rPr>
              <w:t>compensation)</w:t>
            </w:r>
          </w:p>
        </w:tc>
        <w:tc>
          <w:tcPr>
            <w:tcW w:w="1054" w:type="dxa"/>
            <w:tcBorders>
              <w:top w:val="single" w:sz="4" w:space="0" w:color="auto"/>
              <w:left w:val="single" w:sz="4" w:space="0" w:color="auto"/>
              <w:right w:val="single" w:sz="4" w:space="0" w:color="auto"/>
            </w:tcBorders>
          </w:tcPr>
          <w:p w:rsidR="00F21B52" w:rsidRPr="00556F2B" w:rsidRDefault="00F21B52" w:rsidP="008F1958">
            <w:pPr>
              <w:pStyle w:val="Style5"/>
              <w:spacing w:before="120" w:after="120"/>
              <w:ind w:left="49"/>
              <w:rPr>
                <w:rStyle w:val="CharacterStyle1"/>
                <w:rFonts w:ascii="Tahoma" w:hAnsi="Tahoma" w:cs="Tahoma"/>
                <w:szCs w:val="24"/>
              </w:rPr>
            </w:pPr>
            <w:r w:rsidRPr="00556F2B">
              <w:rPr>
                <w:rStyle w:val="CharacterStyle1"/>
                <w:rFonts w:ascii="Tahoma" w:hAnsi="Tahoma" w:cs="Tahoma"/>
                <w:szCs w:val="24"/>
              </w:rPr>
              <w:t>Used</w:t>
            </w:r>
          </w:p>
        </w:tc>
        <w:tc>
          <w:tcPr>
            <w:tcW w:w="1620" w:type="dxa"/>
            <w:tcBorders>
              <w:top w:val="single" w:sz="4" w:space="0" w:color="auto"/>
              <w:left w:val="single" w:sz="4" w:space="0" w:color="auto"/>
              <w:right w:val="single" w:sz="4" w:space="0" w:color="auto"/>
            </w:tcBorders>
          </w:tcPr>
          <w:p w:rsidR="00F21B52" w:rsidRPr="00556F2B" w:rsidRDefault="00F21B52" w:rsidP="008F1958">
            <w:pPr>
              <w:pStyle w:val="Style5"/>
              <w:spacing w:before="120" w:after="120"/>
              <w:ind w:left="40"/>
              <w:rPr>
                <w:rStyle w:val="CharacterStyle1"/>
                <w:rFonts w:ascii="Tahoma" w:hAnsi="Tahoma" w:cs="Tahoma"/>
                <w:szCs w:val="24"/>
              </w:rPr>
            </w:pPr>
            <w:r w:rsidRPr="00556F2B">
              <w:rPr>
                <w:rStyle w:val="CharacterStyle1"/>
                <w:rFonts w:ascii="Tahoma" w:hAnsi="Tahoma" w:cs="Tahoma"/>
                <w:szCs w:val="24"/>
              </w:rPr>
              <w:t>Purchase of</w:t>
            </w:r>
            <w:r w:rsidRPr="00556F2B">
              <w:rPr>
                <w:rStyle w:val="CharacterStyle1"/>
                <w:rFonts w:ascii="Tahoma" w:hAnsi="Tahoma" w:cs="Tahoma"/>
                <w:szCs w:val="24"/>
                <w:lang w:val="id-ID"/>
              </w:rPr>
              <w:t xml:space="preserve"> </w:t>
            </w:r>
            <w:r w:rsidRPr="00556F2B">
              <w:rPr>
                <w:rStyle w:val="CharacterStyle1"/>
                <w:rFonts w:ascii="Tahoma" w:hAnsi="Tahoma" w:cs="Tahoma"/>
                <w:szCs w:val="24"/>
              </w:rPr>
              <w:t>products (not</w:t>
            </w:r>
            <w:r w:rsidRPr="00556F2B">
              <w:rPr>
                <w:rStyle w:val="CharacterStyle1"/>
                <w:rFonts w:ascii="Tahoma" w:hAnsi="Tahoma" w:cs="Tahoma"/>
                <w:szCs w:val="24"/>
                <w:lang w:val="id-ID"/>
              </w:rPr>
              <w:t xml:space="preserve"> </w:t>
            </w:r>
            <w:r w:rsidRPr="00556F2B">
              <w:rPr>
                <w:rStyle w:val="CharacterStyle1"/>
                <w:rFonts w:ascii="Tahoma" w:hAnsi="Tahoma" w:cs="Tahoma"/>
                <w:szCs w:val="24"/>
              </w:rPr>
              <w:t>related to</w:t>
            </w:r>
            <w:r w:rsidRPr="00556F2B">
              <w:rPr>
                <w:rStyle w:val="CharacterStyle1"/>
                <w:rFonts w:ascii="Tahoma" w:hAnsi="Tahoma" w:cs="Tahoma"/>
                <w:szCs w:val="24"/>
                <w:lang w:val="id-ID"/>
              </w:rPr>
              <w:t xml:space="preserve"> </w:t>
            </w:r>
            <w:r w:rsidRPr="00556F2B">
              <w:rPr>
                <w:rStyle w:val="CharacterStyle1"/>
                <w:rFonts w:ascii="Tahoma" w:hAnsi="Tahoma" w:cs="Tahoma"/>
                <w:szCs w:val="24"/>
              </w:rPr>
              <w:t>the primary</w:t>
            </w:r>
            <w:r w:rsidRPr="00556F2B">
              <w:rPr>
                <w:rStyle w:val="CharacterStyle1"/>
                <w:rFonts w:ascii="Tahoma" w:hAnsi="Tahoma" w:cs="Tahoma"/>
                <w:szCs w:val="24"/>
                <w:lang w:val="id-ID"/>
              </w:rPr>
              <w:t xml:space="preserve"> </w:t>
            </w:r>
            <w:r w:rsidRPr="00556F2B">
              <w:rPr>
                <w:rStyle w:val="CharacterStyle1"/>
                <w:rFonts w:ascii="Tahoma" w:hAnsi="Tahoma" w:cs="Tahoma"/>
                <w:szCs w:val="24"/>
              </w:rPr>
              <w:t>transaction)</w:t>
            </w:r>
          </w:p>
        </w:tc>
        <w:tc>
          <w:tcPr>
            <w:tcW w:w="1530" w:type="dxa"/>
            <w:tcBorders>
              <w:top w:val="single" w:sz="4" w:space="0" w:color="auto"/>
              <w:left w:val="single" w:sz="4" w:space="0" w:color="auto"/>
              <w:right w:val="single" w:sz="4" w:space="0" w:color="auto"/>
            </w:tcBorders>
          </w:tcPr>
          <w:p w:rsidR="00F21B52" w:rsidRPr="00556F2B" w:rsidRDefault="00F21B52" w:rsidP="008F1958">
            <w:pPr>
              <w:pStyle w:val="Style5"/>
              <w:spacing w:before="120" w:after="120"/>
              <w:ind w:left="40"/>
              <w:rPr>
                <w:rStyle w:val="CharacterStyle1"/>
                <w:rFonts w:ascii="Tahoma" w:hAnsi="Tahoma" w:cs="Tahoma"/>
                <w:szCs w:val="24"/>
              </w:rPr>
            </w:pPr>
            <w:r w:rsidRPr="00556F2B">
              <w:rPr>
                <w:rStyle w:val="CharacterStyle1"/>
                <w:rFonts w:ascii="Tahoma" w:hAnsi="Tahoma" w:cs="Tahoma"/>
                <w:szCs w:val="24"/>
              </w:rPr>
              <w:t>Short term (a</w:t>
            </w:r>
            <w:r w:rsidRPr="00556F2B">
              <w:rPr>
                <w:rStyle w:val="CharacterStyle1"/>
                <w:rFonts w:ascii="Tahoma" w:hAnsi="Tahoma" w:cs="Tahoma"/>
                <w:szCs w:val="24"/>
                <w:lang w:val="id-ID"/>
              </w:rPr>
              <w:t xml:space="preserve"> </w:t>
            </w:r>
            <w:r w:rsidRPr="00556F2B">
              <w:rPr>
                <w:rStyle w:val="CharacterStyle1"/>
                <w:rFonts w:ascii="Tahoma" w:hAnsi="Tahoma" w:cs="Tahoma"/>
                <w:szCs w:val="24"/>
              </w:rPr>
              <w:t>few months/</w:t>
            </w:r>
            <w:r w:rsidRPr="00556F2B">
              <w:rPr>
                <w:rStyle w:val="CharacterStyle1"/>
                <w:rFonts w:ascii="Tahoma" w:hAnsi="Tahoma" w:cs="Tahoma"/>
                <w:szCs w:val="24"/>
                <w:lang w:val="id-ID"/>
              </w:rPr>
              <w:t xml:space="preserve"> </w:t>
            </w:r>
            <w:r w:rsidRPr="00556F2B">
              <w:rPr>
                <w:rStyle w:val="CharacterStyle1"/>
                <w:rFonts w:ascii="Tahoma" w:hAnsi="Tahoma" w:cs="Tahoma"/>
                <w:szCs w:val="24"/>
              </w:rPr>
              <w:t>years)</w:t>
            </w:r>
          </w:p>
        </w:tc>
        <w:tc>
          <w:tcPr>
            <w:tcW w:w="1350" w:type="dxa"/>
            <w:tcBorders>
              <w:top w:val="single" w:sz="4" w:space="0" w:color="auto"/>
              <w:left w:val="single" w:sz="4" w:space="0" w:color="auto"/>
              <w:right w:val="single" w:sz="4" w:space="0" w:color="auto"/>
            </w:tcBorders>
          </w:tcPr>
          <w:p w:rsidR="00F21B52" w:rsidRPr="00556F2B" w:rsidRDefault="00F21B52" w:rsidP="008F1958">
            <w:pPr>
              <w:pStyle w:val="Style5"/>
              <w:spacing w:before="120" w:after="120"/>
              <w:ind w:left="40"/>
              <w:rPr>
                <w:rStyle w:val="CharacterStyle1"/>
                <w:rFonts w:ascii="Tahoma" w:hAnsi="Tahoma" w:cs="Tahoma"/>
                <w:szCs w:val="24"/>
              </w:rPr>
            </w:pPr>
            <w:r w:rsidRPr="00556F2B">
              <w:rPr>
                <w:rStyle w:val="CharacterStyle1"/>
                <w:rFonts w:ascii="Tahoma" w:hAnsi="Tahoma" w:cs="Tahoma"/>
                <w:szCs w:val="24"/>
              </w:rPr>
              <w:t>Typically two</w:t>
            </w:r>
          </w:p>
        </w:tc>
        <w:tc>
          <w:tcPr>
            <w:tcW w:w="1620" w:type="dxa"/>
            <w:tcBorders>
              <w:top w:val="single" w:sz="4" w:space="0" w:color="auto"/>
              <w:left w:val="single" w:sz="4" w:space="0" w:color="auto"/>
              <w:right w:val="single" w:sz="4" w:space="0" w:color="auto"/>
            </w:tcBorders>
          </w:tcPr>
          <w:p w:rsidR="00F21B52" w:rsidRPr="00556F2B" w:rsidRDefault="00F21B52" w:rsidP="008F1958">
            <w:pPr>
              <w:pStyle w:val="Style5"/>
              <w:spacing w:before="120" w:after="120"/>
              <w:ind w:left="40"/>
              <w:rPr>
                <w:rStyle w:val="CharacterStyle1"/>
                <w:rFonts w:ascii="Tahoma" w:hAnsi="Tahoma" w:cs="Tahoma"/>
                <w:szCs w:val="24"/>
              </w:rPr>
            </w:pPr>
            <w:r w:rsidRPr="00556F2B">
              <w:rPr>
                <w:rStyle w:val="CharacterStyle1"/>
                <w:rFonts w:ascii="Tahoma" w:hAnsi="Tahoma" w:cs="Tahoma"/>
                <w:szCs w:val="24"/>
              </w:rPr>
              <w:t>Advance</w:t>
            </w:r>
            <w:r w:rsidR="00AE1C02" w:rsidRPr="00556F2B">
              <w:rPr>
                <w:rStyle w:val="CharacterStyle1"/>
                <w:rFonts w:ascii="Tahoma" w:hAnsi="Tahoma" w:cs="Tahoma"/>
                <w:szCs w:val="24"/>
                <w:lang w:val="id-ID"/>
              </w:rPr>
              <w:t xml:space="preserve"> </w:t>
            </w:r>
            <w:r w:rsidRPr="00556F2B">
              <w:rPr>
                <w:rStyle w:val="CharacterStyle1"/>
                <w:rFonts w:ascii="Tahoma" w:hAnsi="Tahoma" w:cs="Tahoma"/>
                <w:szCs w:val="24"/>
              </w:rPr>
              <w:t>purchase</w:t>
            </w:r>
          </w:p>
        </w:tc>
      </w:tr>
      <w:tr w:rsidR="00F21B52" w:rsidRPr="00B311C2" w:rsidTr="008F1958">
        <w:trPr>
          <w:cantSplit/>
          <w:trHeight w:hRule="exact" w:val="1090"/>
        </w:trPr>
        <w:tc>
          <w:tcPr>
            <w:tcW w:w="1466" w:type="dxa"/>
            <w:tcBorders>
              <w:top w:val="single" w:sz="4" w:space="0" w:color="auto"/>
              <w:left w:val="single" w:sz="4" w:space="0" w:color="auto"/>
              <w:bottom w:val="single" w:sz="4" w:space="0" w:color="auto"/>
              <w:right w:val="single" w:sz="4" w:space="0" w:color="auto"/>
            </w:tcBorders>
          </w:tcPr>
          <w:p w:rsidR="00F21B52" w:rsidRPr="00556F2B" w:rsidRDefault="00F21B52" w:rsidP="008F1958">
            <w:pPr>
              <w:pStyle w:val="Style5"/>
              <w:spacing w:before="120" w:after="120"/>
              <w:ind w:left="49"/>
              <w:rPr>
                <w:rStyle w:val="CharacterStyle1"/>
                <w:rFonts w:ascii="Tahoma" w:hAnsi="Tahoma" w:cs="Tahoma"/>
                <w:szCs w:val="24"/>
              </w:rPr>
            </w:pPr>
            <w:r w:rsidRPr="00556F2B">
              <w:rPr>
                <w:rStyle w:val="CharacterStyle1"/>
                <w:rFonts w:ascii="Tahoma" w:hAnsi="Tahoma" w:cs="Tahoma"/>
                <w:szCs w:val="24"/>
              </w:rPr>
              <w:t>Offset</w:t>
            </w:r>
          </w:p>
        </w:tc>
        <w:tc>
          <w:tcPr>
            <w:tcW w:w="1054" w:type="dxa"/>
            <w:tcBorders>
              <w:top w:val="single" w:sz="4" w:space="0" w:color="auto"/>
              <w:left w:val="single" w:sz="4" w:space="0" w:color="auto"/>
              <w:bottom w:val="single" w:sz="4" w:space="0" w:color="auto"/>
              <w:right w:val="single" w:sz="4" w:space="0" w:color="auto"/>
            </w:tcBorders>
          </w:tcPr>
          <w:p w:rsidR="00F21B52" w:rsidRPr="00556F2B" w:rsidRDefault="00F21B52" w:rsidP="008F1958">
            <w:pPr>
              <w:pStyle w:val="Style5"/>
              <w:spacing w:before="120" w:after="120"/>
              <w:ind w:left="49"/>
              <w:rPr>
                <w:rStyle w:val="CharacterStyle1"/>
                <w:rFonts w:ascii="Tahoma" w:hAnsi="Tahoma" w:cs="Tahoma"/>
                <w:szCs w:val="24"/>
              </w:rPr>
            </w:pPr>
            <w:r w:rsidRPr="00556F2B">
              <w:rPr>
                <w:rStyle w:val="CharacterStyle1"/>
                <w:rFonts w:ascii="Tahoma" w:hAnsi="Tahoma" w:cs="Tahoma"/>
                <w:szCs w:val="24"/>
              </w:rPr>
              <w:t>Used</w:t>
            </w:r>
          </w:p>
        </w:tc>
        <w:tc>
          <w:tcPr>
            <w:tcW w:w="1620" w:type="dxa"/>
            <w:tcBorders>
              <w:top w:val="single" w:sz="4" w:space="0" w:color="auto"/>
              <w:left w:val="single" w:sz="4" w:space="0" w:color="auto"/>
              <w:bottom w:val="single" w:sz="4" w:space="0" w:color="auto"/>
              <w:right w:val="single" w:sz="4" w:space="0" w:color="auto"/>
            </w:tcBorders>
          </w:tcPr>
          <w:p w:rsidR="00F21B52" w:rsidRPr="00556F2B" w:rsidRDefault="00F21B52" w:rsidP="008F1958">
            <w:pPr>
              <w:pStyle w:val="Style5"/>
              <w:spacing w:before="120" w:after="120"/>
              <w:ind w:left="40"/>
              <w:rPr>
                <w:rStyle w:val="CharacterStyle1"/>
                <w:rFonts w:ascii="Tahoma" w:hAnsi="Tahoma" w:cs="Tahoma"/>
                <w:szCs w:val="24"/>
              </w:rPr>
            </w:pPr>
            <w:r w:rsidRPr="00556F2B">
              <w:rPr>
                <w:rStyle w:val="CharacterStyle1"/>
                <w:rFonts w:ascii="Tahoma" w:hAnsi="Tahoma" w:cs="Tahoma"/>
                <w:szCs w:val="24"/>
              </w:rPr>
              <w:t>Activities that</w:t>
            </w:r>
            <w:r w:rsidRPr="00556F2B">
              <w:rPr>
                <w:rStyle w:val="CharacterStyle1"/>
                <w:rFonts w:ascii="Tahoma" w:hAnsi="Tahoma" w:cs="Tahoma"/>
                <w:szCs w:val="24"/>
                <w:lang w:val="id-ID"/>
              </w:rPr>
              <w:t xml:space="preserve"> </w:t>
            </w:r>
            <w:r w:rsidRPr="00556F2B">
              <w:rPr>
                <w:rStyle w:val="CharacterStyle1"/>
                <w:rFonts w:ascii="Tahoma" w:hAnsi="Tahoma" w:cs="Tahoma"/>
                <w:szCs w:val="24"/>
              </w:rPr>
              <w:t>concern more</w:t>
            </w:r>
            <w:r w:rsidRPr="00556F2B">
              <w:rPr>
                <w:rStyle w:val="CharacterStyle1"/>
                <w:rFonts w:ascii="Tahoma" w:hAnsi="Tahoma" w:cs="Tahoma"/>
                <w:szCs w:val="24"/>
                <w:lang w:val="id-ID"/>
              </w:rPr>
              <w:t xml:space="preserve"> </w:t>
            </w:r>
            <w:r w:rsidRPr="00556F2B">
              <w:rPr>
                <w:rStyle w:val="CharacterStyle1"/>
                <w:rFonts w:ascii="Tahoma" w:hAnsi="Tahoma" w:cs="Tahoma"/>
                <w:szCs w:val="24"/>
              </w:rPr>
              <w:t>than the purchase</w:t>
            </w:r>
            <w:r w:rsidRPr="00556F2B">
              <w:rPr>
                <w:rStyle w:val="CharacterStyle1"/>
                <w:rFonts w:ascii="Tahoma" w:hAnsi="Tahoma" w:cs="Tahoma"/>
                <w:szCs w:val="24"/>
                <w:lang w:val="id-ID"/>
              </w:rPr>
              <w:t xml:space="preserve"> </w:t>
            </w:r>
            <w:r w:rsidRPr="00556F2B">
              <w:rPr>
                <w:rStyle w:val="CharacterStyle1"/>
                <w:rFonts w:ascii="Tahoma" w:hAnsi="Tahoma" w:cs="Tahoma"/>
                <w:szCs w:val="24"/>
              </w:rPr>
              <w:t>of products</w:t>
            </w:r>
          </w:p>
        </w:tc>
        <w:tc>
          <w:tcPr>
            <w:tcW w:w="1530" w:type="dxa"/>
            <w:tcBorders>
              <w:top w:val="single" w:sz="4" w:space="0" w:color="auto"/>
              <w:left w:val="single" w:sz="4" w:space="0" w:color="auto"/>
              <w:bottom w:val="single" w:sz="4" w:space="0" w:color="auto"/>
              <w:right w:val="single" w:sz="4" w:space="0" w:color="auto"/>
            </w:tcBorders>
          </w:tcPr>
          <w:p w:rsidR="00F21B52" w:rsidRPr="00556F2B" w:rsidRDefault="00F21B52" w:rsidP="008F1958">
            <w:pPr>
              <w:pStyle w:val="Style5"/>
              <w:spacing w:before="120" w:after="120"/>
              <w:ind w:left="40"/>
              <w:rPr>
                <w:rStyle w:val="CharacterStyle1"/>
                <w:rFonts w:ascii="Tahoma" w:hAnsi="Tahoma" w:cs="Tahoma"/>
                <w:szCs w:val="24"/>
              </w:rPr>
            </w:pPr>
            <w:r w:rsidRPr="00556F2B">
              <w:rPr>
                <w:rStyle w:val="CharacterStyle1"/>
                <w:rFonts w:ascii="Tahoma" w:hAnsi="Tahoma" w:cs="Tahoma"/>
                <w:szCs w:val="24"/>
              </w:rPr>
              <w:t>Long term</w:t>
            </w:r>
            <w:r w:rsidR="00AE1C02" w:rsidRPr="00556F2B">
              <w:rPr>
                <w:rStyle w:val="CharacterStyle1"/>
                <w:rFonts w:ascii="Tahoma" w:hAnsi="Tahoma" w:cs="Tahoma"/>
                <w:szCs w:val="24"/>
                <w:lang w:val="id-ID"/>
              </w:rPr>
              <w:t xml:space="preserve"> </w:t>
            </w:r>
            <w:r w:rsidRPr="00556F2B">
              <w:rPr>
                <w:rStyle w:val="CharacterStyle1"/>
                <w:rFonts w:ascii="Tahoma" w:hAnsi="Tahoma" w:cs="Tahoma"/>
                <w:szCs w:val="24"/>
              </w:rPr>
              <w:t>(several years)</w:t>
            </w:r>
          </w:p>
        </w:tc>
        <w:tc>
          <w:tcPr>
            <w:tcW w:w="1350" w:type="dxa"/>
            <w:tcBorders>
              <w:top w:val="single" w:sz="4" w:space="0" w:color="auto"/>
              <w:left w:val="single" w:sz="4" w:space="0" w:color="auto"/>
              <w:bottom w:val="single" w:sz="4" w:space="0" w:color="auto"/>
              <w:right w:val="single" w:sz="4" w:space="0" w:color="auto"/>
            </w:tcBorders>
          </w:tcPr>
          <w:p w:rsidR="00F21B52" w:rsidRPr="00556F2B" w:rsidRDefault="00F21B52" w:rsidP="008F1958">
            <w:pPr>
              <w:pStyle w:val="Style5"/>
              <w:spacing w:before="120" w:after="120"/>
              <w:ind w:left="40"/>
              <w:rPr>
                <w:rStyle w:val="CharacterStyle1"/>
                <w:rFonts w:ascii="Tahoma" w:hAnsi="Tahoma" w:cs="Tahoma"/>
                <w:szCs w:val="24"/>
              </w:rPr>
            </w:pPr>
            <w:r w:rsidRPr="00556F2B">
              <w:rPr>
                <w:rStyle w:val="CharacterStyle1"/>
                <w:rFonts w:ascii="Tahoma" w:hAnsi="Tahoma" w:cs="Tahoma"/>
                <w:szCs w:val="24"/>
              </w:rPr>
              <w:t>From few units</w:t>
            </w:r>
            <w:r w:rsidR="00AE1C02" w:rsidRPr="00556F2B">
              <w:rPr>
                <w:rStyle w:val="CharacterStyle1"/>
                <w:rFonts w:ascii="Tahoma" w:hAnsi="Tahoma" w:cs="Tahoma"/>
                <w:szCs w:val="24"/>
                <w:lang w:val="id-ID"/>
              </w:rPr>
              <w:t xml:space="preserve"> </w:t>
            </w:r>
            <w:r w:rsidRPr="00556F2B">
              <w:rPr>
                <w:rStyle w:val="CharacterStyle1"/>
                <w:rFonts w:ascii="Tahoma" w:hAnsi="Tahoma" w:cs="Tahoma"/>
                <w:szCs w:val="24"/>
              </w:rPr>
              <w:t>to several</w:t>
            </w:r>
          </w:p>
        </w:tc>
        <w:tc>
          <w:tcPr>
            <w:tcW w:w="1620" w:type="dxa"/>
            <w:tcBorders>
              <w:top w:val="single" w:sz="4" w:space="0" w:color="auto"/>
              <w:left w:val="single" w:sz="4" w:space="0" w:color="auto"/>
              <w:bottom w:val="single" w:sz="4" w:space="0" w:color="auto"/>
              <w:right w:val="single" w:sz="4" w:space="0" w:color="auto"/>
            </w:tcBorders>
          </w:tcPr>
          <w:p w:rsidR="00F21B52" w:rsidRPr="00556F2B" w:rsidRDefault="00F21B52" w:rsidP="008F1958">
            <w:pPr>
              <w:pStyle w:val="Style5"/>
              <w:spacing w:before="120" w:after="120"/>
              <w:ind w:left="40"/>
              <w:rPr>
                <w:rStyle w:val="CharacterStyle1"/>
                <w:rFonts w:ascii="Tahoma" w:hAnsi="Tahoma" w:cs="Tahoma"/>
                <w:szCs w:val="24"/>
              </w:rPr>
            </w:pPr>
          </w:p>
        </w:tc>
      </w:tr>
    </w:tbl>
    <w:p w:rsidR="0050382E" w:rsidRPr="00B311C2" w:rsidRDefault="0050382E" w:rsidP="00B311C2">
      <w:pPr>
        <w:adjustRightInd/>
        <w:rPr>
          <w:sz w:val="24"/>
          <w:szCs w:val="24"/>
        </w:rPr>
      </w:pPr>
    </w:p>
    <w:p w:rsidR="0050382E" w:rsidRPr="00B311C2" w:rsidRDefault="005D0E4C" w:rsidP="00B311C2">
      <w:pPr>
        <w:pStyle w:val="Style1"/>
        <w:adjustRightInd/>
        <w:ind w:right="10" w:firstLine="360"/>
        <w:jc w:val="both"/>
        <w:rPr>
          <w:sz w:val="24"/>
          <w:szCs w:val="24"/>
        </w:rPr>
      </w:pPr>
      <w:r w:rsidRPr="00B311C2">
        <w:rPr>
          <w:sz w:val="24"/>
          <w:szCs w:val="24"/>
        </w:rPr>
        <w:t>Bartering typically involves short-term product exchanges without the use of money (Marin and Schnitzer, 2002). This is the only countertrade form that (without requiring the use of money) could solve problems related to the unavailability of foreign currency. Mutual needs regarding products and services (with the same value) for both parties and a short timeline for the arrangement are amongst the characteristics that have limited the use of this solution during the last few decades.</w:t>
      </w:r>
    </w:p>
    <w:p w:rsidR="0050382E" w:rsidRPr="00B311C2" w:rsidRDefault="005D0E4C" w:rsidP="00B311C2">
      <w:pPr>
        <w:pStyle w:val="Style1"/>
        <w:adjustRightInd/>
        <w:ind w:right="10" w:firstLine="360"/>
        <w:jc w:val="both"/>
        <w:rPr>
          <w:sz w:val="24"/>
          <w:szCs w:val="24"/>
        </w:rPr>
      </w:pPr>
      <w:r w:rsidRPr="00B311C2">
        <w:rPr>
          <w:sz w:val="24"/>
          <w:szCs w:val="24"/>
        </w:rPr>
        <w:t>Conversely, the other main forms of countertrade agreements (buy-back, counter-purchasing and offset agreements) have experienced expansion over time (US Department of Commerce, 2007).</w:t>
      </w:r>
    </w:p>
    <w:p w:rsidR="00F215FE" w:rsidRPr="00B311C2" w:rsidRDefault="005D0E4C" w:rsidP="00B311C2">
      <w:pPr>
        <w:pStyle w:val="Style1"/>
        <w:adjustRightInd/>
        <w:ind w:right="10" w:firstLine="360"/>
        <w:jc w:val="both"/>
        <w:rPr>
          <w:sz w:val="24"/>
          <w:szCs w:val="24"/>
        </w:rPr>
      </w:pPr>
      <w:r w:rsidRPr="00B311C2">
        <w:rPr>
          <w:sz w:val="24"/>
          <w:szCs w:val="24"/>
        </w:rPr>
        <w:t>In buy-back agreements (which often concern turnkey contracts), the seller accepts that it must buy those of the customer's products that are produced at the plant or using the technology that it has supplied (Camino and Cardone, 1998; Mirus and Yeung, 1986). The link between the primary transaction — the plant — and the secondary one — the products produced by the plant — constitutes an important guarantee to the purchaser (Hennart and Anderson, 1993; Lecraw, 1989) that decreases the total transaction costs (Hennart, 1990).</w:t>
      </w:r>
    </w:p>
    <w:p w:rsidR="0050382E" w:rsidRPr="00B311C2" w:rsidRDefault="005D0E4C" w:rsidP="00B311C2">
      <w:pPr>
        <w:pStyle w:val="Style4"/>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lastRenderedPageBreak/>
        <w:t>Counter-purchasing differs from the previous methods because the products exchanged in the secondary transaction are not related to those associated with the primary one but are connected to other forms of production (Hennart and Anderson, 1993).</w:t>
      </w:r>
    </w:p>
    <w:p w:rsidR="0050382E" w:rsidRPr="00B311C2" w:rsidRDefault="005D0E4C" w:rsidP="00B311C2">
      <w:pPr>
        <w:pStyle w:val="Style4"/>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Finally, in offset agreements, the impositions on the seller consist of not only purchasing obligations (Table 11.1) but also various other compensatory activities (Hennart, 1989, 1990). This solution, originally applied almost exclusively in the defence sector, is nowadays widespread in non-military supplies and in agreements between private organisations. Offset arrangements frequently include government proposals (although they are not necessarily implemented by governments) that cover wide (sometimes social or environmental) policy objectives (Al-Suwaidi, 1993).</w:t>
      </w:r>
    </w:p>
    <w:p w:rsidR="0050382E" w:rsidRPr="00B311C2" w:rsidRDefault="005D0E4C" w:rsidP="00B311C2">
      <w:pPr>
        <w:pStyle w:val="Style4"/>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Given the secrecy surrounding countertrading, it is quite difficult to evaluate its true economic relevance (Erridge and Zhabykenov, 1998; Lecraw, 1989; Liesch and Palia, 1997, 1999). The estimates provided in the literature are heterogeneous, ranging from 5-30 per cent of the total value of international transactions (Forker, 1996; Hennart and Anderson, 1993). These estimates give us a rough idea of the importance of the phenomenon.</w:t>
      </w:r>
    </w:p>
    <w:p w:rsidR="0050382E" w:rsidRPr="00F910B2" w:rsidRDefault="005D0E4C" w:rsidP="00F910B2">
      <w:pPr>
        <w:pStyle w:val="Style2"/>
        <w:spacing w:before="360" w:after="240" w:line="240" w:lineRule="auto"/>
        <w:rPr>
          <w:rStyle w:val="CharacterStyle1"/>
          <w:rFonts w:ascii="Tahoma" w:hAnsi="Tahoma" w:cs="Tahoma"/>
          <w:sz w:val="28"/>
          <w:szCs w:val="24"/>
        </w:rPr>
      </w:pPr>
      <w:r w:rsidRPr="00F910B2">
        <w:rPr>
          <w:rStyle w:val="CharacterStyle1"/>
          <w:rFonts w:ascii="Tahoma" w:hAnsi="Tahoma" w:cs="Tahoma"/>
          <w:sz w:val="28"/>
          <w:szCs w:val="24"/>
        </w:rPr>
        <w:t>11.2 The Case Study</w:t>
      </w:r>
    </w:p>
    <w:p w:rsidR="0050382E" w:rsidRPr="00F910B2" w:rsidRDefault="005D0E4C" w:rsidP="00F910B2">
      <w:pPr>
        <w:pStyle w:val="Style2"/>
        <w:spacing w:before="360" w:after="240" w:line="240" w:lineRule="auto"/>
        <w:rPr>
          <w:rStyle w:val="CharacterStyle1"/>
          <w:rFonts w:ascii="Tahoma" w:hAnsi="Tahoma" w:cs="Tahoma"/>
          <w:sz w:val="24"/>
          <w:szCs w:val="24"/>
        </w:rPr>
      </w:pPr>
      <w:r w:rsidRPr="00F910B2">
        <w:rPr>
          <w:rStyle w:val="CharacterStyle1"/>
          <w:rFonts w:ascii="Tahoma" w:hAnsi="Tahoma" w:cs="Tahoma"/>
          <w:sz w:val="24"/>
          <w:szCs w:val="24"/>
        </w:rPr>
        <w:t>11.2.1 COMPANY PROFILE</w:t>
      </w:r>
    </w:p>
    <w:p w:rsidR="0050382E" w:rsidRPr="00B311C2" w:rsidRDefault="005D0E4C" w:rsidP="00B311C2">
      <w:pPr>
        <w:pStyle w:val="Style1"/>
        <w:adjustRightInd/>
        <w:jc w:val="both"/>
        <w:rPr>
          <w:sz w:val="24"/>
          <w:szCs w:val="24"/>
        </w:rPr>
      </w:pPr>
      <w:r w:rsidRPr="00B311C2">
        <w:rPr>
          <w:sz w:val="24"/>
          <w:szCs w:val="24"/>
        </w:rPr>
        <w:t>Danieli is the worldwide leader in the design and construction of industrial systems for the iron and steel industry and for the non-ferrous metals sector. Founded in 1914, Danieli began its engineering plant activity in 1955. Thanks to its acquisition of several firms, the company has achieved a worldwide leadership position in the construction and supply of systems for the production of steel.</w:t>
      </w:r>
    </w:p>
    <w:p w:rsidR="0050382E" w:rsidRPr="00B311C2" w:rsidRDefault="005D0E4C" w:rsidP="00B311C2">
      <w:pPr>
        <w:pStyle w:val="Style2"/>
        <w:spacing w:before="0" w:line="240" w:lineRule="auto"/>
        <w:ind w:firstLine="288"/>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The company's future strategy is to maintain its leadership position in the design and construction of minimills.</w:t>
      </w:r>
    </w:p>
    <w:p w:rsidR="0050382E" w:rsidRDefault="005D0E4C" w:rsidP="00B311C2">
      <w:pPr>
        <w:pStyle w:val="Style2"/>
        <w:spacing w:before="0" w:line="240" w:lineRule="auto"/>
        <w:ind w:firstLine="288"/>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The group is constituted by a number of divisions located in Italy, the Netherlands, Great Britain, Germany, Sweden, Thailand and the United States. The main centres are:</w:t>
      </w:r>
    </w:p>
    <w:p w:rsidR="00F910B2" w:rsidRPr="00B311C2" w:rsidRDefault="00F910B2" w:rsidP="00B311C2">
      <w:pPr>
        <w:pStyle w:val="Style2"/>
        <w:spacing w:before="0" w:line="240" w:lineRule="auto"/>
        <w:ind w:firstLine="288"/>
        <w:rPr>
          <w:rStyle w:val="CharacterStyle1"/>
          <w:rFonts w:ascii="Times New Roman" w:hAnsi="Times New Roman" w:cs="Times New Roman"/>
          <w:sz w:val="24"/>
          <w:szCs w:val="24"/>
        </w:rPr>
      </w:pPr>
    </w:p>
    <w:p w:rsidR="0050382E" w:rsidRPr="00B311C2" w:rsidRDefault="005D0E4C" w:rsidP="00B311C2">
      <w:pPr>
        <w:pStyle w:val="Style2"/>
        <w:numPr>
          <w:ilvl w:val="0"/>
          <w:numId w:val="1"/>
        </w:numPr>
        <w:spacing w:before="0"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Buttrio, Italy (Danieli headquarters)</w:t>
      </w:r>
    </w:p>
    <w:p w:rsidR="0050382E" w:rsidRPr="00B311C2" w:rsidRDefault="005D0E4C" w:rsidP="00B311C2">
      <w:pPr>
        <w:pStyle w:val="Style2"/>
        <w:numPr>
          <w:ilvl w:val="0"/>
          <w:numId w:val="1"/>
        </w:numPr>
        <w:spacing w:before="0"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Olpe, Germany (Danieli Frohling)</w:t>
      </w:r>
    </w:p>
    <w:p w:rsidR="0050382E" w:rsidRPr="00B311C2" w:rsidRDefault="005D0E4C" w:rsidP="00B311C2">
      <w:pPr>
        <w:pStyle w:val="Style2"/>
        <w:numPr>
          <w:ilvl w:val="0"/>
          <w:numId w:val="1"/>
        </w:numPr>
        <w:spacing w:before="0"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Smedjebacken, Sweden (Danieli Morgkdshammar)</w:t>
      </w:r>
    </w:p>
    <w:p w:rsidR="0050382E" w:rsidRPr="00B311C2" w:rsidRDefault="005D0E4C" w:rsidP="00B311C2">
      <w:pPr>
        <w:pStyle w:val="Style2"/>
        <w:numPr>
          <w:ilvl w:val="0"/>
          <w:numId w:val="1"/>
        </w:numPr>
        <w:spacing w:before="0"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Paris, France (Danieli Rotelec)</w:t>
      </w:r>
    </w:p>
    <w:p w:rsidR="0050382E" w:rsidRPr="00B311C2" w:rsidRDefault="005D0E4C" w:rsidP="00B311C2">
      <w:pPr>
        <w:pStyle w:val="Style2"/>
        <w:numPr>
          <w:ilvl w:val="0"/>
          <w:numId w:val="1"/>
        </w:numPr>
        <w:spacing w:before="0"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Pittsburgh, USA (Danieli Corporation)</w:t>
      </w:r>
    </w:p>
    <w:p w:rsidR="0050382E" w:rsidRDefault="005D0E4C" w:rsidP="00B311C2">
      <w:pPr>
        <w:pStyle w:val="Style2"/>
        <w:numPr>
          <w:ilvl w:val="0"/>
          <w:numId w:val="1"/>
        </w:numPr>
        <w:spacing w:before="0"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Rayong, Thailand</w:t>
      </w:r>
    </w:p>
    <w:p w:rsidR="00F910B2" w:rsidRPr="00B311C2" w:rsidRDefault="00F910B2" w:rsidP="00F910B2">
      <w:pPr>
        <w:pStyle w:val="Style2"/>
        <w:spacing w:before="0" w:line="240" w:lineRule="auto"/>
        <w:rPr>
          <w:rStyle w:val="CharacterStyle1"/>
          <w:rFonts w:ascii="Times New Roman" w:hAnsi="Times New Roman" w:cs="Times New Roman"/>
          <w:sz w:val="24"/>
          <w:szCs w:val="24"/>
        </w:rPr>
      </w:pPr>
    </w:p>
    <w:p w:rsidR="0050382E" w:rsidRPr="00B311C2" w:rsidRDefault="005D0E4C" w:rsidP="00B311C2">
      <w:pPr>
        <w:pStyle w:val="Style4"/>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Today Danieli exports nearly all of what it produces, employing approximately 3,000 workers. The sales of the group for the year 2006 amounted to approximately €2 billion. High R&amp;D investments are allowing Danieli to strengthen its competitiveness in the global market.</w:t>
      </w:r>
    </w:p>
    <w:p w:rsidR="00F215FE" w:rsidRPr="00B311C2" w:rsidRDefault="005D0E4C" w:rsidP="00B311C2">
      <w:pPr>
        <w:pStyle w:val="Style4"/>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To guarantee a high level of engineering reliability to its final customers, along with high quality levels and quick reaction times, the purchasing division of the company is continuously searching for qualified suppliers. Danieli buys approximately €900 million worth of raw materials, components, equipments, auxiliary systems and services per year.</w:t>
      </w:r>
    </w:p>
    <w:p w:rsidR="0050382E" w:rsidRPr="00B311C2" w:rsidRDefault="005D0E4C" w:rsidP="00B311C2">
      <w:pPr>
        <w:pStyle w:val="Style4"/>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lastRenderedPageBreak/>
        <w:t>The firm's main supplying markets are western Europe, Eastern Europe (mainly Czechoslovakia, Slovakia, Croatia, Slovenia and, occasionally, Romania and Ukraine), the USA, South America and the Middle and Far East.</w:t>
      </w:r>
    </w:p>
    <w:p w:rsidR="0050382E" w:rsidRPr="00B311C2" w:rsidRDefault="005D0E4C" w:rsidP="00B311C2">
      <w:pPr>
        <w:pStyle w:val="Style4"/>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The firm purchases a wide variety of items from these countries, from components to complete system parts. The choice of international supply markets in this sector is dictated not only by cost considerations but also by possible contractual ties that link the sale of a product to the use of local supplies. Moreover, the offer is often more interesting if it is carried out (at least partially) thanks to the support of the local supply network (even if locally explicit ties are absent).</w:t>
      </w:r>
    </w:p>
    <w:p w:rsidR="0050382E" w:rsidRPr="00B311C2" w:rsidRDefault="005D0E4C" w:rsidP="00B311C2">
      <w:pPr>
        <w:pStyle w:val="Style4"/>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Approximately half of the system's total cost derives from the production of machines designed through Danieli know-how. Of this 50 per cent, 70 per cent is made at the company facilities, while 30 per cent is bought from international suppliers. The remaining 50 per cent of the cost comes from the purchase of technical products, systems and services (for example, motors, electric components, security systems, facilities and assembly). Thus, the purchasing function manages (on average) 65 per cent of the total costs of a system.</w:t>
      </w:r>
    </w:p>
    <w:p w:rsidR="0050382E" w:rsidRPr="00F910B2" w:rsidRDefault="005D0E4C" w:rsidP="00F910B2">
      <w:pPr>
        <w:pStyle w:val="Style2"/>
        <w:spacing w:before="360" w:after="240" w:line="240" w:lineRule="auto"/>
        <w:rPr>
          <w:rStyle w:val="CharacterStyle1"/>
          <w:rFonts w:ascii="Tahoma" w:hAnsi="Tahoma" w:cs="Tahoma"/>
          <w:sz w:val="24"/>
          <w:szCs w:val="24"/>
        </w:rPr>
      </w:pPr>
      <w:r w:rsidRPr="00F910B2">
        <w:rPr>
          <w:rStyle w:val="CharacterStyle1"/>
          <w:rFonts w:ascii="Tahoma" w:hAnsi="Tahoma" w:cs="Tahoma"/>
          <w:sz w:val="24"/>
          <w:szCs w:val="24"/>
        </w:rPr>
        <w:t>11.2.2 IMPOSED SOURCING</w:t>
      </w:r>
    </w:p>
    <w:p w:rsidR="0050382E" w:rsidRPr="00B311C2" w:rsidRDefault="005D0E4C" w:rsidP="00B311C2">
      <w:pPr>
        <w:pStyle w:val="Style2"/>
        <w:spacing w:before="0" w:line="240" w:lineRule="auto"/>
        <w:jc w:val="both"/>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As mentioned in Section 11.1.2, 'imposed sourcing' constraints may occur in several forms. The one tested by Danieli can be compared with DOLS.</w:t>
      </w:r>
    </w:p>
    <w:p w:rsidR="0050382E" w:rsidRPr="00B311C2" w:rsidRDefault="005D0E4C" w:rsidP="00B311C2">
      <w:pPr>
        <w:pStyle w:val="Style4"/>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It frequently happens that the importer forces the Italian firm to purchase a certain portion of the components for the final product from local suppliers. Even if no formal offset contract is signed, under these circumstances the firm is forced to solve problems that are extremely similar to those that emerge in the case of a real offset agreement. Danieli is obliged to configure a considerable part of its supply chain every time and to handle any problem related to this anomalous variability.</w:t>
      </w:r>
    </w:p>
    <w:p w:rsidR="0050382E" w:rsidRPr="00B311C2" w:rsidRDefault="005D0E4C" w:rsidP="00B311C2">
      <w:pPr>
        <w:pStyle w:val="Style4"/>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Sometimes these impositions are formalised, as in the case of tender documentation in India and Iran. In other contexts, such constraints arise from a verbal agreement between the parties. The analysis of the Chinese context is beyond a doubt a good starting point for understanding the main characteristics of this phenomenon. We will then proceed by analysing the presence of the Italian enterprise in the Chinese economic environment, after which we will describe the most important features of this practice.</w:t>
      </w:r>
    </w:p>
    <w:p w:rsidR="0050382E" w:rsidRPr="00F910B2" w:rsidRDefault="005D0E4C" w:rsidP="00F910B2">
      <w:pPr>
        <w:pStyle w:val="Style2"/>
        <w:spacing w:before="360" w:after="240" w:line="240" w:lineRule="auto"/>
        <w:rPr>
          <w:rStyle w:val="CharacterStyle1"/>
          <w:rFonts w:ascii="Tahoma" w:hAnsi="Tahoma" w:cs="Tahoma"/>
          <w:sz w:val="24"/>
          <w:szCs w:val="24"/>
        </w:rPr>
      </w:pPr>
      <w:r w:rsidRPr="00F910B2">
        <w:rPr>
          <w:rStyle w:val="CharacterStyle1"/>
          <w:rFonts w:ascii="Tahoma" w:hAnsi="Tahoma" w:cs="Tahoma"/>
          <w:sz w:val="24"/>
          <w:szCs w:val="24"/>
        </w:rPr>
        <w:t>The Chinese context</w:t>
      </w:r>
    </w:p>
    <w:p w:rsidR="0050382E" w:rsidRPr="00B311C2" w:rsidRDefault="005D0E4C" w:rsidP="00B311C2">
      <w:pPr>
        <w:pStyle w:val="Style2"/>
        <w:spacing w:before="0" w:line="240" w:lineRule="auto"/>
        <w:jc w:val="both"/>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The sales of Danieli in China represent approximately 20-25 per cent of its turnover. The Chinese market is judged to be so good that among the 50 main orders carried out by Danieli in 2002, 20 were in the Far East.</w:t>
      </w:r>
    </w:p>
    <w:p w:rsidR="00F215FE" w:rsidRPr="00B311C2" w:rsidRDefault="005D0E4C" w:rsidP="00B311C2">
      <w:pPr>
        <w:pStyle w:val="Style4"/>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Danieli began exploring the Chinese industrial context in 1979, and its first contract was signed in 1982. Since that year, the presence of the group in the Chinese market has grown without stopping: 150 plans have been carried out by Danieli in less than 20 years. This increasing trend in China is similar to that recorded for the whole group worldwide. In fact, until the 1990s, the company worked almost exclusively in the market for 'long products'. Its expansion into the segment for 'plan products' has made Danieli a worldwide-level company and at the same time allowed the firm to consolidate its presence in China.</w:t>
      </w:r>
    </w:p>
    <w:p w:rsidR="0050382E" w:rsidRPr="00B311C2" w:rsidRDefault="005D0E4C" w:rsidP="00B311C2">
      <w:pPr>
        <w:pStyle w:val="Style4"/>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lastRenderedPageBreak/>
        <w:t>The first purchases in China began in 1998 and are connected to Danieli's supply of low-technology machinery. The purchases were carried out in China for local customers. Danieli began to take the Chinese market into consideration, first for cost reasons (the average pay that Chinese skilled workers receive is lower than those in the West, amounting to perhaps 4,000 dollars per year) and then to test local productive capabilities.</w:t>
      </w:r>
    </w:p>
    <w:p w:rsidR="0050382E" w:rsidRPr="00B311C2" w:rsidRDefault="005D0E4C" w:rsidP="00B311C2">
      <w:pPr>
        <w:pStyle w:val="Style4"/>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The Chinese market is changing radically nowadays as strongly bureaucratic state companies, stimulated by the reforms that are transforming the country, are restructured.</w:t>
      </w:r>
    </w:p>
    <w:p w:rsidR="0050382E" w:rsidRPr="00B311C2" w:rsidRDefault="005D0E4C" w:rsidP="00B311C2">
      <w:pPr>
        <w:pStyle w:val="Style4"/>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The first supplies made by Danieli in China were often disappointing, and the company had to rework some of the purchased items to adapt them to its standards. Besides the bureaucratic and state involvement in the local economic system, which sometimes allows the political system to 'infiltrate' the firm's management, there is another factor that encourages inefficiency in China: the local market is overfull with domestic orders linked to events close at hand (for example the Olympic Games in Beijing in 2008 and the Shangai Expo in 2010).</w:t>
      </w:r>
    </w:p>
    <w:p w:rsidR="0050382E" w:rsidRPr="00B311C2" w:rsidRDefault="005D0E4C" w:rsidP="00B311C2">
      <w:pPr>
        <w:pStyle w:val="Style4"/>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Despite these limitations, Danieli has continued its strategy of valorising production because China constitutes an important market for its actual and future business. This choice is supported by the progressive improvements that Chinese suppliers have demonstrated from a qualitative point of view and the beneficial effects of the transfer of know-how by the European enterprises that have operated here for some time.</w:t>
      </w:r>
    </w:p>
    <w:p w:rsidR="0050382E" w:rsidRPr="00B311C2" w:rsidRDefault="005D0E4C" w:rsidP="00B311C2">
      <w:pPr>
        <w:pStyle w:val="Style4"/>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A rapid increase in the Chinese metallurgical sector has been recorded, with development rates decidedly higher than the average increase in the GDP. The gradual privatisation of state companies operating in this sector has also multiplied the offer: until a few years ago the government assigned productions on the basis of economic planning; today customers can select local producers and stimulate competition among them.</w:t>
      </w:r>
    </w:p>
    <w:p w:rsidR="0050382E" w:rsidRPr="00B311C2" w:rsidRDefault="005D0E4C" w:rsidP="00B311C2">
      <w:pPr>
        <w:pStyle w:val="Style4"/>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The imposed use of local producers has always been systematically used by the Chinese government in strategic sectors such as the metallurgical one. Local constructors therefore benefit from a protected market and from technology transfer coming from the most advanced Western enterprises. At the same time, the Chinese government guarantees occupation locally.</w:t>
      </w:r>
    </w:p>
    <w:p w:rsidR="0050382E" w:rsidRPr="00F910B2" w:rsidRDefault="005D0E4C" w:rsidP="00F910B2">
      <w:pPr>
        <w:pStyle w:val="Style2"/>
        <w:spacing w:before="360" w:after="240" w:line="240" w:lineRule="auto"/>
        <w:rPr>
          <w:rStyle w:val="CharacterStyle1"/>
          <w:rFonts w:ascii="Tahoma" w:hAnsi="Tahoma" w:cs="Tahoma"/>
          <w:sz w:val="24"/>
          <w:szCs w:val="24"/>
        </w:rPr>
      </w:pPr>
      <w:r w:rsidRPr="00F910B2">
        <w:rPr>
          <w:rStyle w:val="CharacterStyle1"/>
          <w:rFonts w:ascii="Tahoma" w:hAnsi="Tahoma" w:cs="Tahoma"/>
          <w:sz w:val="24"/>
          <w:szCs w:val="24"/>
        </w:rPr>
        <w:t>Imposed local sourcing</w:t>
      </w:r>
    </w:p>
    <w:p w:rsidR="0050382E" w:rsidRPr="00B311C2" w:rsidRDefault="005D0E4C" w:rsidP="00B311C2">
      <w:pPr>
        <w:pStyle w:val="Style1"/>
        <w:adjustRightInd/>
        <w:jc w:val="both"/>
        <w:rPr>
          <w:sz w:val="24"/>
          <w:szCs w:val="24"/>
        </w:rPr>
      </w:pPr>
      <w:r w:rsidRPr="00B311C2">
        <w:rPr>
          <w:sz w:val="24"/>
          <w:szCs w:val="24"/>
        </w:rPr>
        <w:t>The DOLS constraint is usually expressed as a percentage of the total cost of the plant. A certain portion of this obligation is accomplished by engaging local suppliers to conduct civil construction within the plant. The residual percentage is for various types of components. 'Critical parts', which require Danieli's exclusive technologies and know-how, are entirely produced in Italy.</w:t>
      </w:r>
    </w:p>
    <w:p w:rsidR="0050382E" w:rsidRDefault="005D0E4C" w:rsidP="00B311C2">
      <w:pPr>
        <w:pStyle w:val="Style1"/>
        <w:adjustRightInd/>
        <w:ind w:left="288"/>
        <w:jc w:val="both"/>
        <w:rPr>
          <w:sz w:val="24"/>
          <w:szCs w:val="24"/>
        </w:rPr>
      </w:pPr>
      <w:r w:rsidRPr="00B311C2">
        <w:rPr>
          <w:sz w:val="24"/>
          <w:szCs w:val="24"/>
        </w:rPr>
        <w:t>The procedure used to fulfil the obligation entails the following phases:</w:t>
      </w:r>
    </w:p>
    <w:p w:rsidR="00F910B2" w:rsidRPr="00B311C2" w:rsidRDefault="00F910B2" w:rsidP="00B311C2">
      <w:pPr>
        <w:pStyle w:val="Style1"/>
        <w:adjustRightInd/>
        <w:ind w:left="288"/>
        <w:jc w:val="both"/>
        <w:rPr>
          <w:sz w:val="24"/>
          <w:szCs w:val="24"/>
        </w:rPr>
      </w:pPr>
    </w:p>
    <w:p w:rsidR="0050382E" w:rsidRPr="00B311C2" w:rsidRDefault="005D0E4C" w:rsidP="00B311C2">
      <w:pPr>
        <w:pStyle w:val="Style1"/>
        <w:numPr>
          <w:ilvl w:val="0"/>
          <w:numId w:val="4"/>
        </w:numPr>
        <w:adjustRightInd/>
        <w:rPr>
          <w:sz w:val="24"/>
          <w:szCs w:val="24"/>
        </w:rPr>
      </w:pPr>
      <w:r w:rsidRPr="00B311C2">
        <w:rPr>
          <w:sz w:val="24"/>
          <w:szCs w:val="24"/>
        </w:rPr>
        <w:t>The imposition of constraints. The customer specifies a list of possible local suppliers and the overall value of the components subject to DOLS constraints.</w:t>
      </w:r>
    </w:p>
    <w:p w:rsidR="0050382E" w:rsidRPr="00B311C2" w:rsidRDefault="005D0E4C" w:rsidP="00B311C2">
      <w:pPr>
        <w:pStyle w:val="Style1"/>
        <w:numPr>
          <w:ilvl w:val="0"/>
          <w:numId w:val="4"/>
        </w:numPr>
        <w:adjustRightInd/>
        <w:rPr>
          <w:sz w:val="24"/>
          <w:szCs w:val="24"/>
        </w:rPr>
      </w:pPr>
      <w:r w:rsidRPr="00B311C2">
        <w:rPr>
          <w:sz w:val="24"/>
          <w:szCs w:val="24"/>
        </w:rPr>
        <w:t>Task assignments. The customer empowers Danieli to negotiate with local suppliers regarding the purchase of the components subject to DOLS conditions.</w:t>
      </w:r>
    </w:p>
    <w:p w:rsidR="00F215FE" w:rsidRPr="00B311C2" w:rsidRDefault="005D0E4C" w:rsidP="00B311C2">
      <w:pPr>
        <w:pStyle w:val="Style1"/>
        <w:numPr>
          <w:ilvl w:val="0"/>
          <w:numId w:val="4"/>
        </w:numPr>
        <w:adjustRightInd/>
        <w:jc w:val="both"/>
        <w:rPr>
          <w:sz w:val="24"/>
          <w:szCs w:val="24"/>
        </w:rPr>
      </w:pPr>
      <w:r w:rsidRPr="00B311C2">
        <w:rPr>
          <w:sz w:val="24"/>
          <w:szCs w:val="24"/>
        </w:rPr>
        <w:t>Negotiation. Danieli negotiates directly with local suppliers. The final goal is to determine performance in terms of product quality, price and the delivery time. The customer usually pays a fee to Danieli for the negotiation.</w:t>
      </w:r>
    </w:p>
    <w:p w:rsidR="0050382E" w:rsidRPr="00B311C2" w:rsidRDefault="005D0E4C" w:rsidP="00B311C2">
      <w:pPr>
        <w:pStyle w:val="Style1"/>
        <w:numPr>
          <w:ilvl w:val="0"/>
          <w:numId w:val="5"/>
        </w:numPr>
        <w:adjustRightInd/>
        <w:rPr>
          <w:sz w:val="24"/>
          <w:szCs w:val="24"/>
        </w:rPr>
      </w:pPr>
      <w:r w:rsidRPr="00B311C2">
        <w:rPr>
          <w:sz w:val="24"/>
          <w:szCs w:val="24"/>
        </w:rPr>
        <w:lastRenderedPageBreak/>
        <w:t>The purchase. The real purchase is formally accomplished by the final customer based on the conditions previously determined during the negotiation phase.</w:t>
      </w:r>
    </w:p>
    <w:p w:rsidR="0050382E" w:rsidRDefault="005D0E4C" w:rsidP="00B311C2">
      <w:pPr>
        <w:pStyle w:val="Style1"/>
        <w:numPr>
          <w:ilvl w:val="0"/>
          <w:numId w:val="6"/>
        </w:numPr>
        <w:adjustRightInd/>
        <w:jc w:val="both"/>
        <w:rPr>
          <w:sz w:val="24"/>
          <w:szCs w:val="24"/>
        </w:rPr>
      </w:pPr>
      <w:r w:rsidRPr="00B311C2">
        <w:rPr>
          <w:sz w:val="24"/>
          <w:szCs w:val="24"/>
        </w:rPr>
        <w:t>Performance monitoring and the settling of disputes. The overall responsibility for the plan involves intense activity on the part of Danieli in supervising suppliers and monitoring their processes in depth. Consequently, Danieli also holds the responsibility for quality control for the locally purchased components. The customer will have to settle any possible disputes with the suppliers.</w:t>
      </w:r>
    </w:p>
    <w:p w:rsidR="00F910B2" w:rsidRPr="00B311C2" w:rsidRDefault="00F910B2" w:rsidP="00F910B2">
      <w:pPr>
        <w:pStyle w:val="Style1"/>
        <w:adjustRightInd/>
        <w:jc w:val="both"/>
        <w:rPr>
          <w:sz w:val="24"/>
          <w:szCs w:val="24"/>
        </w:rPr>
      </w:pPr>
    </w:p>
    <w:p w:rsidR="0050382E" w:rsidRPr="00B311C2" w:rsidRDefault="005D0E4C" w:rsidP="00B311C2">
      <w:pPr>
        <w:pStyle w:val="Style4"/>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In reference to the fifth step, it must be emphasised that Danieli entrusts all of its activity to its Chinese controllers. The Chinese staff are located near the suppliers and are coordinated by the representative office (RO). There are currently two ROs, one in Beijing (since 1983) and the other in Shanghai (since 2002). The Shanghai office was created to maintain a close and interactive relationship with the local operators in the area (the Chinese pole of the steel industry). The RO provides intensive assistance with sales, the management of orders and post-sales services.</w:t>
      </w:r>
    </w:p>
    <w:p w:rsidR="0050382E" w:rsidRDefault="005D0E4C" w:rsidP="00B311C2">
      <w:pPr>
        <w:pStyle w:val="Style4"/>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Several possible rationales for imposing DOLS constraints emerge from our empirical analysis, and there are a lot of differences depending on the geographic context we refer to. Among the most frequently adduced reasons we list the following:</w:t>
      </w:r>
    </w:p>
    <w:p w:rsidR="00F910B2" w:rsidRPr="00B311C2" w:rsidRDefault="00F910B2" w:rsidP="00B311C2">
      <w:pPr>
        <w:pStyle w:val="Style4"/>
        <w:spacing w:line="240" w:lineRule="auto"/>
        <w:rPr>
          <w:rStyle w:val="CharacterStyle1"/>
          <w:rFonts w:ascii="Times New Roman" w:hAnsi="Times New Roman" w:cs="Times New Roman"/>
          <w:sz w:val="24"/>
          <w:szCs w:val="24"/>
        </w:rPr>
      </w:pPr>
    </w:p>
    <w:p w:rsidR="0050382E" w:rsidRPr="00B311C2" w:rsidRDefault="005D0E4C" w:rsidP="00B311C2">
      <w:pPr>
        <w:pStyle w:val="Style1"/>
        <w:numPr>
          <w:ilvl w:val="0"/>
          <w:numId w:val="1"/>
        </w:numPr>
        <w:adjustRightInd/>
        <w:ind w:left="360" w:hanging="360"/>
        <w:rPr>
          <w:sz w:val="24"/>
          <w:szCs w:val="24"/>
        </w:rPr>
      </w:pPr>
      <w:r w:rsidRPr="00B311C2">
        <w:rPr>
          <w:sz w:val="24"/>
          <w:szCs w:val="24"/>
        </w:rPr>
        <w:t>Cost-driven motivations. The importer insists on having recourse to local suppliers because it hopes to obtain a considerable reduction in plant costs in this way.</w:t>
      </w:r>
    </w:p>
    <w:p w:rsidR="0050382E" w:rsidRPr="00B311C2" w:rsidRDefault="005D0E4C" w:rsidP="00B311C2">
      <w:pPr>
        <w:pStyle w:val="Style1"/>
        <w:numPr>
          <w:ilvl w:val="0"/>
          <w:numId w:val="1"/>
        </w:numPr>
        <w:adjustRightInd/>
        <w:ind w:left="360" w:hanging="360"/>
        <w:jc w:val="both"/>
        <w:rPr>
          <w:sz w:val="24"/>
          <w:szCs w:val="24"/>
        </w:rPr>
      </w:pPr>
      <w:r w:rsidRPr="00B311C2">
        <w:rPr>
          <w:sz w:val="24"/>
          <w:szCs w:val="24"/>
        </w:rPr>
        <w:t>Political motivations. The imposed use of local suppliers is promoted by governments within strategic sectors to create a protected market for local manufacturers and to assure effective technology transfer from the most advanced foreign enterprises.</w:t>
      </w:r>
    </w:p>
    <w:p w:rsidR="0050382E" w:rsidRPr="00B311C2" w:rsidRDefault="005D0E4C" w:rsidP="00B311C2">
      <w:pPr>
        <w:pStyle w:val="Style1"/>
        <w:numPr>
          <w:ilvl w:val="0"/>
          <w:numId w:val="1"/>
        </w:numPr>
        <w:adjustRightInd/>
        <w:ind w:left="360" w:hanging="360"/>
        <w:rPr>
          <w:sz w:val="24"/>
          <w:szCs w:val="24"/>
        </w:rPr>
      </w:pPr>
      <w:r w:rsidRPr="00B311C2">
        <w:rPr>
          <w:sz w:val="24"/>
          <w:szCs w:val="24"/>
        </w:rPr>
        <w:t>Operational reasons. Based on customer necessity, the need arises to develop a local industrial network to obtain rapid access to after-sale service and assistance.</w:t>
      </w:r>
    </w:p>
    <w:p w:rsidR="0050382E" w:rsidRPr="00B311C2" w:rsidRDefault="005D0E4C" w:rsidP="00B311C2">
      <w:pPr>
        <w:pStyle w:val="Style1"/>
        <w:numPr>
          <w:ilvl w:val="0"/>
          <w:numId w:val="1"/>
        </w:numPr>
        <w:adjustRightInd/>
        <w:ind w:left="360" w:hanging="360"/>
        <w:jc w:val="both"/>
        <w:rPr>
          <w:sz w:val="24"/>
          <w:szCs w:val="24"/>
        </w:rPr>
      </w:pPr>
      <w:r w:rsidRPr="00B311C2">
        <w:rPr>
          <w:sz w:val="24"/>
          <w:szCs w:val="24"/>
        </w:rPr>
        <w:t>Economic interests. The importer requires the purchase of components from local suppliers that he directly controls or from firms with whom he shares a certain economic interest.</w:t>
      </w:r>
    </w:p>
    <w:p w:rsidR="0050382E" w:rsidRPr="00F910B2" w:rsidRDefault="005D0E4C" w:rsidP="00F910B2">
      <w:pPr>
        <w:pStyle w:val="Style2"/>
        <w:spacing w:before="360" w:after="240" w:line="240" w:lineRule="auto"/>
        <w:rPr>
          <w:rStyle w:val="CharacterStyle1"/>
          <w:rFonts w:ascii="Tahoma" w:hAnsi="Tahoma" w:cs="Tahoma"/>
          <w:sz w:val="24"/>
          <w:szCs w:val="24"/>
        </w:rPr>
      </w:pPr>
      <w:r w:rsidRPr="00F910B2">
        <w:rPr>
          <w:rStyle w:val="CharacterStyle1"/>
          <w:rFonts w:ascii="Tahoma" w:hAnsi="Tahoma" w:cs="Tahoma"/>
          <w:sz w:val="24"/>
          <w:szCs w:val="24"/>
        </w:rPr>
        <w:t>11.2.3 OTHER TYPES OF COUNTERTRADE</w:t>
      </w:r>
    </w:p>
    <w:p w:rsidR="0050382E" w:rsidRPr="00B311C2" w:rsidRDefault="005D0E4C" w:rsidP="00B311C2">
      <w:pPr>
        <w:pStyle w:val="Style1"/>
        <w:adjustRightInd/>
        <w:jc w:val="both"/>
        <w:rPr>
          <w:sz w:val="24"/>
          <w:szCs w:val="24"/>
        </w:rPr>
      </w:pPr>
      <w:r w:rsidRPr="00B311C2">
        <w:rPr>
          <w:sz w:val="24"/>
          <w:szCs w:val="24"/>
        </w:rPr>
        <w:t>The analysis accomplished in collaboration with Danieli executives allows one to identify a strong correlation between the use of compensatory agreements and some particular markets characterised by a widespread shortage of international currency. In past decades, the using of countertrading techniques was definitely more frequent and occurred in many developing countries.</w:t>
      </w:r>
    </w:p>
    <w:p w:rsidR="0050382E" w:rsidRPr="00B311C2" w:rsidRDefault="005D0E4C" w:rsidP="00B311C2">
      <w:pPr>
        <w:pStyle w:val="Style4"/>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Although several studies (Mirus and Yeung, 1986; Hennart, 1989) have revealed a large variety of possible contexts for countertrading, the anecdotal evidence collected during this study shows that compensatory agreements are primarily considered the way for clients to finance imports.</w:t>
      </w:r>
    </w:p>
    <w:p w:rsidR="0050382E" w:rsidRPr="00B311C2" w:rsidRDefault="005D0E4C" w:rsidP="00B311C2">
      <w:pPr>
        <w:pStyle w:val="Style4"/>
        <w:spacing w:line="240" w:lineRule="auto"/>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We will now analyse in detail the implications for Danieli of the countertrading typology previously described.</w:t>
      </w:r>
    </w:p>
    <w:p w:rsidR="0050382E" w:rsidRPr="00B311C2" w:rsidRDefault="005D0E4C" w:rsidP="00F910B2">
      <w:pPr>
        <w:pStyle w:val="Style4"/>
        <w:spacing w:line="240" w:lineRule="auto"/>
        <w:rPr>
          <w:rFonts w:ascii="Times New Roman" w:hAnsi="Times New Roman" w:cs="Times New Roman"/>
          <w:sz w:val="24"/>
          <w:szCs w:val="24"/>
        </w:rPr>
      </w:pPr>
      <w:r w:rsidRPr="00B311C2">
        <w:rPr>
          <w:rStyle w:val="CharacterStyle1"/>
          <w:rFonts w:ascii="Times New Roman" w:hAnsi="Times New Roman" w:cs="Times New Roman"/>
          <w:sz w:val="24"/>
          <w:szCs w:val="24"/>
        </w:rPr>
        <w:t>The firm seems not to be involved in any bartering agreements. The large size of the transactions would necessary imply a huge quantity of counter-deliveries as payment for the exported plant. This would consequently cause serious problems in finding suitable</w:t>
      </w:r>
      <w:r w:rsidR="00F910B2">
        <w:rPr>
          <w:rStyle w:val="CharacterStyle1"/>
          <w:rFonts w:ascii="Times New Roman" w:hAnsi="Times New Roman" w:cs="Times New Roman"/>
          <w:sz w:val="24"/>
          <w:szCs w:val="24"/>
        </w:rPr>
        <w:t xml:space="preserve"> </w:t>
      </w:r>
      <w:r w:rsidRPr="00B311C2">
        <w:rPr>
          <w:rFonts w:ascii="Times New Roman" w:hAnsi="Times New Roman" w:cs="Times New Roman"/>
          <w:sz w:val="24"/>
          <w:szCs w:val="24"/>
        </w:rPr>
        <w:lastRenderedPageBreak/>
        <w:t>markets for disposing of goods that are often unrelated to the firm's traditional economic environment.</w:t>
      </w:r>
    </w:p>
    <w:p w:rsidR="0050382E" w:rsidRPr="00B311C2" w:rsidRDefault="005D0E4C" w:rsidP="00F910B2">
      <w:pPr>
        <w:pStyle w:val="Style4"/>
        <w:spacing w:line="280" w:lineRule="exact"/>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The only example that showed deep similarities to a bartering agreement was a particular arrangement with an importer in Venezuela. In this situation, the Venezuelan government should have put at Danieli's disposal a certain quantity of petroleum to guarantee suitable coverage in case the importer did not honour his payment obligations. In essence, the arrangement stated that Danieli should have sold the turnkey plant in exchange for international currency. Therefore, if the importer had not been able to honour the payment, the Italian firm could have obtained a refund by taking possession of the oil reserve provided by the local government. Hence it is clear that if the importer had not been able to perform the monetary transaction, the arrangement would have become very close to traditional bartering: the Italian firm would sell a turnkey plant and accept petroleum as payment.</w:t>
      </w:r>
    </w:p>
    <w:p w:rsidR="0050382E" w:rsidRPr="00B311C2" w:rsidRDefault="005D0E4C" w:rsidP="00F910B2">
      <w:pPr>
        <w:pStyle w:val="Style4"/>
        <w:spacing w:line="280" w:lineRule="exact"/>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The agreement did not actually take place because of the impossibility of the Venezuelan government's providing such a guarantee in favour of a private operator. Consequently, Danieli was forced to refuse the order.</w:t>
      </w:r>
    </w:p>
    <w:p w:rsidR="0050382E" w:rsidRPr="00B311C2" w:rsidRDefault="005D0E4C" w:rsidP="00F910B2">
      <w:pPr>
        <w:pStyle w:val="Style4"/>
        <w:spacing w:line="280" w:lineRule="exact"/>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If it is true that our investigation does not show the firm to be implicated in any counter-purchase contracts, it is possible to detect an importance of arrangements strictly related to the buy-back method.</w:t>
      </w:r>
    </w:p>
    <w:p w:rsidR="0050382E" w:rsidRPr="00B311C2" w:rsidRDefault="005D0E4C" w:rsidP="00F910B2">
      <w:pPr>
        <w:pStyle w:val="Style4"/>
        <w:spacing w:line="280" w:lineRule="exact"/>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The situations, that we refer to, have occurred in the context of arrangements based on project finance modalities. Under these circumstances, the financing bank (also called the project sponsor) usually asks Danieli's client to sign an off-take agreement in advance. Based on this contract, the importer is forced to sell a part of the production that he will obtain with the purchased plant at a certain price and for a stated period (for example, 5-10 years) to a predetermined third operator (usually an international trader). The bank's purpose is clearly to obtain greater guarantees regarding earnings from future sales. The creditor's attention is then shifted from the importer's general creditworthiness to the potential earnings of the investment. This entails a considerable advantage for the operators located in developing countries, who are known to have difficulty in obtaining credits.</w:t>
      </w:r>
    </w:p>
    <w:p w:rsidR="0050382E" w:rsidRPr="00B311C2" w:rsidRDefault="005D0E4C" w:rsidP="00F910B2">
      <w:pPr>
        <w:pStyle w:val="Style4"/>
        <w:spacing w:line="280" w:lineRule="exact"/>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As mentioned above, the dynamics of this situation closely resemble those involved in a buy-back agreement. The main difference can be found in the destination of counter-deliveries: goods produced at the imported plant are not bought back by the exporter but instead are purchased by a third party. The similarities to buy-back are even more obvious if we consider that Danieli is frequently forced by the project sponsor to take part in the research of the potential third party.</w:t>
      </w:r>
    </w:p>
    <w:p w:rsidR="00F215FE" w:rsidRPr="00B311C2" w:rsidRDefault="005D0E4C" w:rsidP="00F910B2">
      <w:pPr>
        <w:pStyle w:val="Style4"/>
        <w:spacing w:line="280" w:lineRule="exact"/>
        <w:rPr>
          <w:rStyle w:val="CharacterStyle1"/>
          <w:rFonts w:ascii="Times New Roman" w:hAnsi="Times New Roman" w:cs="Times New Roman"/>
          <w:sz w:val="24"/>
          <w:szCs w:val="24"/>
        </w:rPr>
      </w:pPr>
      <w:r w:rsidRPr="00B311C2">
        <w:rPr>
          <w:rStyle w:val="CharacterStyle1"/>
          <w:rFonts w:ascii="Times New Roman" w:hAnsi="Times New Roman" w:cs="Times New Roman"/>
          <w:sz w:val="24"/>
          <w:szCs w:val="24"/>
        </w:rPr>
        <w:t>Nevertheless, nowadays the circumstances described are an exception to the rule. The positive trend in the steel market allowed operators to count on considerable economic availability, and consequently, they were able to make huge investments in traditional modalities (cash payment). A project finance solution combined with an off-take agreement can be an intensely complex arrangement to set up. Clients resort to this choice as a last resource when the lack of funds is an insurmountable obstacle. In the past, this kind of solution has been largely used in transactions with developing countries such as Egypt, Estonia and Bosnia.</w:t>
      </w:r>
    </w:p>
    <w:p w:rsidR="00F910B2" w:rsidRDefault="00F910B2" w:rsidP="00B311C2">
      <w:pPr>
        <w:pStyle w:val="Style1"/>
        <w:adjustRightInd/>
        <w:rPr>
          <w:sz w:val="24"/>
          <w:szCs w:val="24"/>
        </w:rPr>
      </w:pPr>
    </w:p>
    <w:p w:rsidR="00F910B2" w:rsidRDefault="00F910B2" w:rsidP="00B311C2">
      <w:pPr>
        <w:pStyle w:val="Style1"/>
        <w:adjustRightInd/>
        <w:rPr>
          <w:sz w:val="24"/>
          <w:szCs w:val="24"/>
        </w:rPr>
      </w:pPr>
    </w:p>
    <w:p w:rsidR="00F910B2" w:rsidRDefault="00F910B2" w:rsidP="00B311C2">
      <w:pPr>
        <w:pStyle w:val="Style1"/>
        <w:adjustRightInd/>
        <w:rPr>
          <w:sz w:val="24"/>
          <w:szCs w:val="24"/>
        </w:rPr>
      </w:pPr>
    </w:p>
    <w:p w:rsidR="0050382E" w:rsidRPr="00F910B2" w:rsidRDefault="005D0E4C" w:rsidP="00F910B2">
      <w:pPr>
        <w:pStyle w:val="Style2"/>
        <w:spacing w:before="360" w:after="240" w:line="240" w:lineRule="auto"/>
        <w:rPr>
          <w:rStyle w:val="CharacterStyle1"/>
          <w:rFonts w:ascii="Tahoma" w:hAnsi="Tahoma" w:cs="Tahoma"/>
          <w:sz w:val="24"/>
          <w:szCs w:val="24"/>
        </w:rPr>
      </w:pPr>
      <w:r w:rsidRPr="00F910B2">
        <w:rPr>
          <w:rStyle w:val="CharacterStyle1"/>
          <w:rFonts w:ascii="Tahoma" w:hAnsi="Tahoma" w:cs="Tahoma"/>
          <w:sz w:val="24"/>
          <w:szCs w:val="24"/>
        </w:rPr>
        <w:lastRenderedPageBreak/>
        <w:t>Conclusion</w:t>
      </w:r>
    </w:p>
    <w:p w:rsidR="0050382E" w:rsidRDefault="005D0E4C" w:rsidP="00B311C2">
      <w:pPr>
        <w:pStyle w:val="Style1"/>
        <w:adjustRightInd/>
        <w:jc w:val="both"/>
        <w:rPr>
          <w:sz w:val="24"/>
          <w:szCs w:val="24"/>
        </w:rPr>
      </w:pPr>
      <w:r w:rsidRPr="00B311C2">
        <w:rPr>
          <w:sz w:val="24"/>
          <w:szCs w:val="24"/>
        </w:rPr>
        <w:t>Recent data show that countertrade is now common in several sectors. An extensive literature review has showed many contributions on general aspects of countertrade (motivation, obstacles, size, and so on), and a number of works focused on its ancient form, barter. Very few studies have dealt with one of its developing (and already widespread) form, that is the offset. The complexity of this countertrade form, as well as the scarcity of studies and its growing relevance, have prompted this case study that shows the constraints a European company faces in China.</w:t>
      </w:r>
    </w:p>
    <w:p w:rsidR="00F910B2" w:rsidRDefault="00F910B2" w:rsidP="00B311C2">
      <w:pPr>
        <w:pStyle w:val="Style1"/>
        <w:adjustRightInd/>
        <w:jc w:val="both"/>
        <w:rPr>
          <w:sz w:val="24"/>
          <w:szCs w:val="24"/>
        </w:rPr>
      </w:pPr>
    </w:p>
    <w:p w:rsidR="00F910B2" w:rsidRPr="00B311C2" w:rsidRDefault="00F910B2" w:rsidP="00B311C2">
      <w:pPr>
        <w:pStyle w:val="Style1"/>
        <w:adjustRightInd/>
        <w:jc w:val="both"/>
        <w:rPr>
          <w:sz w:val="24"/>
          <w:szCs w:val="24"/>
        </w:rPr>
      </w:pPr>
      <w:r w:rsidRPr="00B311C2">
        <w:rPr>
          <w:b/>
          <w:bCs/>
          <w:noProof/>
          <w:sz w:val="24"/>
          <w:szCs w:val="24"/>
        </w:rPr>
        <mc:AlternateContent>
          <mc:Choice Requires="wps">
            <w:drawing>
              <wp:anchor distT="0" distB="0" distL="114300" distR="114300" simplePos="0" relativeHeight="251661312" behindDoc="0" locked="0" layoutInCell="1" allowOverlap="1" wp14:anchorId="519C9DEC" wp14:editId="0063528F">
                <wp:simplePos x="0" y="0"/>
                <wp:positionH relativeFrom="column">
                  <wp:posOffset>-93345</wp:posOffset>
                </wp:positionH>
                <wp:positionV relativeFrom="line">
                  <wp:posOffset>155575</wp:posOffset>
                </wp:positionV>
                <wp:extent cx="5457825" cy="1181100"/>
                <wp:effectExtent l="0" t="0" r="28575" b="19050"/>
                <wp:wrapNone/>
                <wp:docPr id="3" name="Rectangle 3"/>
                <wp:cNvGraphicFramePr/>
                <a:graphic xmlns:a="http://schemas.openxmlformats.org/drawingml/2006/main">
                  <a:graphicData uri="http://schemas.microsoft.com/office/word/2010/wordprocessingShape">
                    <wps:wsp>
                      <wps:cNvSpPr/>
                      <wps:spPr>
                        <a:xfrm>
                          <a:off x="0" y="0"/>
                          <a:ext cx="5457825" cy="11811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AA3B15" id="Rectangle 3" o:spid="_x0000_s1026" style="position:absolute;margin-left:-7.35pt;margin-top:12.25pt;width:429.75pt;height:9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" filled="f" strokecolor="black [3213]" strokeweight="1pt">
                <w10:wrap anchory="line"/>
              </v:rect>
            </w:pict>
          </mc:Fallback>
        </mc:AlternateContent>
      </w:r>
    </w:p>
    <w:p w:rsidR="0050382E" w:rsidRPr="00F910B2" w:rsidRDefault="005D0E4C" w:rsidP="00F910B2">
      <w:pPr>
        <w:pStyle w:val="Style1"/>
        <w:adjustRightInd/>
        <w:spacing w:before="120" w:after="120"/>
        <w:ind w:left="144"/>
        <w:rPr>
          <w:rFonts w:ascii="Tahoma" w:hAnsi="Tahoma" w:cs="Tahoma"/>
          <w:b/>
          <w:bCs/>
          <w:sz w:val="24"/>
          <w:szCs w:val="24"/>
        </w:rPr>
      </w:pPr>
      <w:r w:rsidRPr="00F910B2">
        <w:rPr>
          <w:rFonts w:ascii="Tahoma" w:hAnsi="Tahoma" w:cs="Tahoma"/>
          <w:b/>
          <w:bCs/>
          <w:sz w:val="24"/>
          <w:szCs w:val="24"/>
        </w:rPr>
        <w:t>LESSON LEARNED</w:t>
      </w:r>
    </w:p>
    <w:p w:rsidR="0050382E" w:rsidRPr="00F910B2" w:rsidRDefault="005D0E4C" w:rsidP="00F910B2">
      <w:pPr>
        <w:pStyle w:val="Style1"/>
        <w:adjustRightInd/>
        <w:spacing w:before="120" w:after="120"/>
        <w:ind w:left="144"/>
        <w:rPr>
          <w:rFonts w:ascii="Tahoma" w:hAnsi="Tahoma" w:cs="Tahoma"/>
          <w:b/>
          <w:bCs/>
          <w:sz w:val="24"/>
          <w:szCs w:val="24"/>
        </w:rPr>
      </w:pPr>
      <w:r w:rsidRPr="00F910B2">
        <w:rPr>
          <w:rFonts w:ascii="Tahoma" w:hAnsi="Tahoma" w:cs="Tahoma"/>
          <w:b/>
          <w:bCs/>
          <w:sz w:val="24"/>
          <w:szCs w:val="24"/>
        </w:rPr>
        <w:t>Countertrade agreements as a marketing tool</w:t>
      </w:r>
    </w:p>
    <w:p w:rsidR="0050382E" w:rsidRPr="00F910B2" w:rsidRDefault="005D0E4C" w:rsidP="00F910B2">
      <w:pPr>
        <w:pStyle w:val="Style1"/>
        <w:adjustRightInd/>
        <w:ind w:left="144" w:right="720"/>
        <w:jc w:val="both"/>
        <w:rPr>
          <w:rFonts w:ascii="Tahoma" w:hAnsi="Tahoma" w:cs="Tahoma"/>
          <w:szCs w:val="24"/>
        </w:rPr>
      </w:pPr>
      <w:r w:rsidRPr="00F910B2">
        <w:rPr>
          <w:rFonts w:ascii="Tahoma" w:hAnsi="Tahoma" w:cs="Tahoma"/>
          <w:szCs w:val="24"/>
        </w:rPr>
        <w:t>This case study shows that offset agreements are used in the defence industry and in other industrial sectors. A company can achieve competitive advantage based on this trade solution to make its offer more attractive.</w:t>
      </w:r>
    </w:p>
    <w:p w:rsidR="00F910B2" w:rsidRDefault="00F910B2" w:rsidP="00B311C2">
      <w:pPr>
        <w:pStyle w:val="Style1"/>
        <w:adjustRightInd/>
        <w:ind w:left="144" w:right="216"/>
        <w:jc w:val="both"/>
        <w:rPr>
          <w:sz w:val="24"/>
          <w:szCs w:val="24"/>
        </w:rPr>
      </w:pPr>
    </w:p>
    <w:p w:rsidR="00F910B2" w:rsidRDefault="00F910B2" w:rsidP="00B311C2">
      <w:pPr>
        <w:pStyle w:val="Style1"/>
        <w:adjustRightInd/>
        <w:ind w:left="144" w:right="216"/>
        <w:jc w:val="both"/>
        <w:rPr>
          <w:sz w:val="24"/>
          <w:szCs w:val="24"/>
        </w:rPr>
      </w:pPr>
      <w:r w:rsidRPr="00B311C2">
        <w:rPr>
          <w:b/>
          <w:bCs/>
          <w:noProof/>
          <w:sz w:val="24"/>
          <w:szCs w:val="24"/>
        </w:rPr>
        <mc:AlternateContent>
          <mc:Choice Requires="wps">
            <w:drawing>
              <wp:anchor distT="0" distB="0" distL="114300" distR="114300" simplePos="0" relativeHeight="251663360" behindDoc="0" locked="0" layoutInCell="1" allowOverlap="1" wp14:anchorId="5CCCB872" wp14:editId="34CCE7C6">
                <wp:simplePos x="0" y="0"/>
                <wp:positionH relativeFrom="margin">
                  <wp:posOffset>-17145</wp:posOffset>
                </wp:positionH>
                <wp:positionV relativeFrom="line">
                  <wp:posOffset>177165</wp:posOffset>
                </wp:positionV>
                <wp:extent cx="5381625" cy="2013217"/>
                <wp:effectExtent l="0" t="0" r="28575" b="25400"/>
                <wp:wrapNone/>
                <wp:docPr id="4" name="Rectangle 4"/>
                <wp:cNvGraphicFramePr/>
                <a:graphic xmlns:a="http://schemas.openxmlformats.org/drawingml/2006/main">
                  <a:graphicData uri="http://schemas.microsoft.com/office/word/2010/wordprocessingShape">
                    <wps:wsp>
                      <wps:cNvSpPr/>
                      <wps:spPr>
                        <a:xfrm>
                          <a:off x="0" y="0"/>
                          <a:ext cx="5381625" cy="2013217"/>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25F7CF" id="Rectangle 4" o:spid="_x0000_s1026" style="position:absolute;margin-left:-1.35pt;margin-top:13.95pt;width:423.75pt;height:158.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lin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" filled="f" strokecolor="black [3213]" strokeweight="1pt">
                <w10:wrap anchorx="margin" anchory="line"/>
              </v:rect>
            </w:pict>
          </mc:Fallback>
        </mc:AlternateContent>
      </w:r>
    </w:p>
    <w:p w:rsidR="00F910B2" w:rsidRPr="00B311C2" w:rsidRDefault="00F910B2" w:rsidP="00B311C2">
      <w:pPr>
        <w:pStyle w:val="Style1"/>
        <w:adjustRightInd/>
        <w:ind w:left="144" w:right="216"/>
        <w:jc w:val="both"/>
        <w:rPr>
          <w:sz w:val="24"/>
          <w:szCs w:val="24"/>
        </w:rPr>
      </w:pPr>
    </w:p>
    <w:p w:rsidR="0050382E" w:rsidRPr="00F910B2" w:rsidRDefault="005D0E4C" w:rsidP="00B311C2">
      <w:pPr>
        <w:pStyle w:val="Style1"/>
        <w:adjustRightInd/>
        <w:ind w:left="144"/>
        <w:rPr>
          <w:rFonts w:ascii="Tahoma" w:hAnsi="Tahoma" w:cs="Tahoma"/>
          <w:b/>
          <w:bCs/>
          <w:sz w:val="24"/>
          <w:szCs w:val="24"/>
        </w:rPr>
      </w:pPr>
      <w:r w:rsidRPr="00F910B2">
        <w:rPr>
          <w:rFonts w:ascii="Tahoma" w:hAnsi="Tahoma" w:cs="Tahoma"/>
          <w:b/>
          <w:bCs/>
          <w:sz w:val="24"/>
          <w:szCs w:val="24"/>
        </w:rPr>
        <w:t>QUESTIONS FOR STUDENTS</w:t>
      </w:r>
    </w:p>
    <w:p w:rsidR="0050382E" w:rsidRPr="00F910B2" w:rsidRDefault="005D0E4C" w:rsidP="00B311C2">
      <w:pPr>
        <w:pStyle w:val="Style1"/>
        <w:numPr>
          <w:ilvl w:val="0"/>
          <w:numId w:val="7"/>
        </w:numPr>
        <w:tabs>
          <w:tab w:val="clear" w:pos="432"/>
          <w:tab w:val="num" w:pos="648"/>
        </w:tabs>
        <w:adjustRightInd/>
        <w:rPr>
          <w:rFonts w:ascii="Tahoma" w:hAnsi="Tahoma" w:cs="Tahoma"/>
          <w:szCs w:val="24"/>
        </w:rPr>
      </w:pPr>
      <w:r w:rsidRPr="00F910B2">
        <w:rPr>
          <w:rFonts w:ascii="Tahoma" w:hAnsi="Tahoma" w:cs="Tahoma"/>
          <w:szCs w:val="24"/>
        </w:rPr>
        <w:t>What are the peculiarities of imposed sourcing?</w:t>
      </w:r>
    </w:p>
    <w:p w:rsidR="0050382E" w:rsidRPr="00F910B2" w:rsidRDefault="005D0E4C" w:rsidP="00B311C2">
      <w:pPr>
        <w:pStyle w:val="Style1"/>
        <w:numPr>
          <w:ilvl w:val="0"/>
          <w:numId w:val="8"/>
        </w:numPr>
        <w:tabs>
          <w:tab w:val="clear" w:pos="432"/>
          <w:tab w:val="num" w:pos="648"/>
        </w:tabs>
        <w:adjustRightInd/>
        <w:rPr>
          <w:rFonts w:ascii="Tahoma" w:hAnsi="Tahoma" w:cs="Tahoma"/>
          <w:szCs w:val="24"/>
        </w:rPr>
      </w:pPr>
      <w:r w:rsidRPr="00F910B2">
        <w:rPr>
          <w:rFonts w:ascii="Tahoma" w:hAnsi="Tahoma" w:cs="Tahoma"/>
          <w:szCs w:val="24"/>
        </w:rPr>
        <w:t>What are the critical activities?</w:t>
      </w:r>
    </w:p>
    <w:p w:rsidR="0050382E" w:rsidRPr="00F910B2" w:rsidRDefault="005D0E4C" w:rsidP="00B311C2">
      <w:pPr>
        <w:pStyle w:val="Style1"/>
        <w:numPr>
          <w:ilvl w:val="0"/>
          <w:numId w:val="7"/>
        </w:numPr>
        <w:tabs>
          <w:tab w:val="clear" w:pos="432"/>
          <w:tab w:val="num" w:pos="648"/>
        </w:tabs>
        <w:adjustRightInd/>
        <w:rPr>
          <w:rFonts w:ascii="Tahoma" w:hAnsi="Tahoma" w:cs="Tahoma"/>
          <w:szCs w:val="24"/>
        </w:rPr>
      </w:pPr>
      <w:r w:rsidRPr="00F910B2">
        <w:rPr>
          <w:rFonts w:ascii="Tahoma" w:hAnsi="Tahoma" w:cs="Tahoma"/>
          <w:szCs w:val="24"/>
        </w:rPr>
        <w:t>What are the motivations for imposing these agreements?</w:t>
      </w:r>
    </w:p>
    <w:p w:rsidR="00F910B2" w:rsidRDefault="00F910B2" w:rsidP="00B311C2">
      <w:pPr>
        <w:pStyle w:val="Style1"/>
        <w:adjustRightInd/>
        <w:ind w:left="144"/>
        <w:rPr>
          <w:rFonts w:ascii="Tahoma" w:hAnsi="Tahoma" w:cs="Tahoma"/>
          <w:b/>
          <w:bCs/>
          <w:sz w:val="24"/>
          <w:szCs w:val="24"/>
        </w:rPr>
      </w:pPr>
    </w:p>
    <w:p w:rsidR="0050382E" w:rsidRPr="00F910B2" w:rsidRDefault="005D0E4C" w:rsidP="00B311C2">
      <w:pPr>
        <w:pStyle w:val="Style1"/>
        <w:adjustRightInd/>
        <w:ind w:left="144"/>
        <w:rPr>
          <w:rFonts w:ascii="Tahoma" w:hAnsi="Tahoma" w:cs="Tahoma"/>
          <w:b/>
          <w:bCs/>
          <w:sz w:val="24"/>
          <w:szCs w:val="24"/>
        </w:rPr>
      </w:pPr>
      <w:r w:rsidRPr="00F910B2">
        <w:rPr>
          <w:rFonts w:ascii="Tahoma" w:hAnsi="Tahoma" w:cs="Tahoma"/>
          <w:b/>
          <w:bCs/>
          <w:sz w:val="24"/>
          <w:szCs w:val="24"/>
        </w:rPr>
        <w:t>OPEN DISCUSSION</w:t>
      </w:r>
    </w:p>
    <w:p w:rsidR="0050382E" w:rsidRPr="00F910B2" w:rsidRDefault="005D0E4C" w:rsidP="00F910B2">
      <w:pPr>
        <w:pStyle w:val="Style1"/>
        <w:numPr>
          <w:ilvl w:val="0"/>
          <w:numId w:val="9"/>
        </w:numPr>
        <w:tabs>
          <w:tab w:val="clear" w:pos="432"/>
          <w:tab w:val="num" w:pos="648"/>
        </w:tabs>
        <w:adjustRightInd/>
        <w:ind w:right="630"/>
        <w:rPr>
          <w:rFonts w:ascii="Tahoma" w:hAnsi="Tahoma" w:cs="Tahoma"/>
          <w:szCs w:val="24"/>
        </w:rPr>
      </w:pPr>
      <w:r w:rsidRPr="00F910B2">
        <w:rPr>
          <w:rFonts w:ascii="Tahoma" w:hAnsi="Tahoma" w:cs="Tahoma"/>
          <w:szCs w:val="24"/>
        </w:rPr>
        <w:t>One of the critical elements of Danieli's sourcing activity is quality control. Can you identify solutions for managing this critical activity?</w:t>
      </w:r>
    </w:p>
    <w:p w:rsidR="0050382E" w:rsidRPr="00F910B2" w:rsidRDefault="005D0E4C" w:rsidP="00F910B2">
      <w:pPr>
        <w:pStyle w:val="Style1"/>
        <w:numPr>
          <w:ilvl w:val="0"/>
          <w:numId w:val="10"/>
        </w:numPr>
        <w:tabs>
          <w:tab w:val="clear" w:pos="432"/>
          <w:tab w:val="num" w:pos="648"/>
        </w:tabs>
        <w:adjustRightInd/>
        <w:ind w:right="630"/>
        <w:rPr>
          <w:rFonts w:ascii="Tahoma" w:hAnsi="Tahoma" w:cs="Tahoma"/>
          <w:szCs w:val="24"/>
        </w:rPr>
      </w:pPr>
      <w:r w:rsidRPr="00F910B2">
        <w:rPr>
          <w:rFonts w:ascii="Tahoma" w:hAnsi="Tahoma" w:cs="Tahoma"/>
          <w:szCs w:val="24"/>
        </w:rPr>
        <w:t>What are the threats and opportunities associated with making countertrade agreements?</w:t>
      </w:r>
    </w:p>
    <w:p w:rsidR="00F910B2" w:rsidRDefault="00F910B2" w:rsidP="00F910B2">
      <w:pPr>
        <w:pStyle w:val="Style1"/>
        <w:adjustRightInd/>
        <w:rPr>
          <w:sz w:val="24"/>
          <w:szCs w:val="24"/>
        </w:rPr>
      </w:pPr>
    </w:p>
    <w:p w:rsidR="00F910B2" w:rsidRDefault="00F910B2" w:rsidP="00F910B2">
      <w:pPr>
        <w:pStyle w:val="Style1"/>
        <w:adjustRightInd/>
        <w:rPr>
          <w:sz w:val="24"/>
          <w:szCs w:val="24"/>
        </w:rPr>
      </w:pPr>
    </w:p>
    <w:p w:rsidR="00F910B2" w:rsidRPr="00B311C2" w:rsidRDefault="00F910B2" w:rsidP="00F910B2">
      <w:pPr>
        <w:pStyle w:val="Style1"/>
        <w:adjustRightInd/>
        <w:rPr>
          <w:sz w:val="24"/>
          <w:szCs w:val="24"/>
        </w:rPr>
      </w:pPr>
    </w:p>
    <w:p w:rsidR="0050382E" w:rsidRPr="00F910B2" w:rsidRDefault="005D0E4C" w:rsidP="00F910B2">
      <w:pPr>
        <w:pStyle w:val="Style2"/>
        <w:spacing w:before="360" w:after="240" w:line="240" w:lineRule="auto"/>
        <w:rPr>
          <w:rStyle w:val="CharacterStyle1"/>
          <w:rFonts w:ascii="Tahoma" w:hAnsi="Tahoma" w:cs="Tahoma"/>
          <w:sz w:val="24"/>
          <w:szCs w:val="24"/>
        </w:rPr>
      </w:pPr>
      <w:r w:rsidRPr="00F910B2">
        <w:rPr>
          <w:rStyle w:val="CharacterStyle1"/>
          <w:rFonts w:ascii="Tahoma" w:hAnsi="Tahoma" w:cs="Tahoma"/>
          <w:sz w:val="24"/>
          <w:szCs w:val="24"/>
        </w:rPr>
        <w:t>References</w:t>
      </w:r>
    </w:p>
    <w:p w:rsidR="0050382E" w:rsidRPr="00F910B2" w:rsidRDefault="005D0E4C" w:rsidP="00F910B2">
      <w:pPr>
        <w:pStyle w:val="Style7"/>
        <w:spacing w:line="240" w:lineRule="auto"/>
        <w:ind w:left="360" w:hanging="360"/>
        <w:rPr>
          <w:rStyle w:val="CharacterStyle2"/>
          <w:rFonts w:ascii="Times New Roman" w:hAnsi="Times New Roman" w:cs="Times New Roman"/>
          <w:sz w:val="22"/>
          <w:szCs w:val="24"/>
        </w:rPr>
      </w:pPr>
      <w:r w:rsidRPr="00F910B2">
        <w:rPr>
          <w:rStyle w:val="CharacterStyle2"/>
          <w:rFonts w:ascii="Times New Roman" w:hAnsi="Times New Roman" w:cs="Times New Roman"/>
          <w:sz w:val="22"/>
          <w:szCs w:val="24"/>
        </w:rPr>
        <w:t xml:space="preserve">Al-Suwaidi, A. (1993). Countertrade and the Arab world: a comparative view. </w:t>
      </w:r>
      <w:r w:rsidRPr="00F910B2">
        <w:rPr>
          <w:rStyle w:val="CharacterStyle2"/>
          <w:rFonts w:ascii="Times New Roman" w:hAnsi="Times New Roman" w:cs="Times New Roman"/>
          <w:i/>
          <w:iCs/>
          <w:sz w:val="22"/>
          <w:szCs w:val="24"/>
        </w:rPr>
        <w:t xml:space="preserve">Arab Law Quarterly, 8(4), </w:t>
      </w:r>
      <w:r w:rsidRPr="00F910B2">
        <w:rPr>
          <w:rStyle w:val="CharacterStyle2"/>
          <w:rFonts w:ascii="Times New Roman" w:hAnsi="Times New Roman" w:cs="Times New Roman"/>
          <w:sz w:val="22"/>
          <w:szCs w:val="24"/>
        </w:rPr>
        <w:t>273-287.</w:t>
      </w:r>
    </w:p>
    <w:p w:rsidR="0050382E" w:rsidRPr="00F910B2" w:rsidRDefault="005D0E4C" w:rsidP="00F910B2">
      <w:pPr>
        <w:pStyle w:val="Style1"/>
        <w:adjustRightInd/>
        <w:ind w:left="360" w:hanging="360"/>
        <w:rPr>
          <w:sz w:val="22"/>
          <w:szCs w:val="24"/>
        </w:rPr>
      </w:pPr>
      <w:r w:rsidRPr="00F910B2">
        <w:rPr>
          <w:sz w:val="22"/>
          <w:szCs w:val="24"/>
        </w:rPr>
        <w:t>China's Ministry of Foreign Trade and Economic Cooperation (2009). http://english/mofcom.gov. cn.</w:t>
      </w:r>
    </w:p>
    <w:p w:rsidR="0050382E" w:rsidRPr="00F910B2" w:rsidRDefault="005D0E4C" w:rsidP="00F910B2">
      <w:pPr>
        <w:pStyle w:val="Style7"/>
        <w:spacing w:line="240" w:lineRule="auto"/>
        <w:ind w:left="360" w:hanging="360"/>
        <w:rPr>
          <w:rStyle w:val="CharacterStyle2"/>
          <w:rFonts w:ascii="Times New Roman" w:hAnsi="Times New Roman" w:cs="Times New Roman"/>
          <w:sz w:val="22"/>
          <w:szCs w:val="24"/>
        </w:rPr>
      </w:pPr>
      <w:r w:rsidRPr="00F910B2">
        <w:rPr>
          <w:rStyle w:val="CharacterStyle2"/>
          <w:rFonts w:ascii="Times New Roman" w:hAnsi="Times New Roman" w:cs="Times New Roman"/>
          <w:sz w:val="22"/>
          <w:szCs w:val="24"/>
        </w:rPr>
        <w:t xml:space="preserve">Erridge, A. and Zhabykenov, D. (1998). The role of purchasing in countertrade. </w:t>
      </w:r>
      <w:r w:rsidRPr="00F910B2">
        <w:rPr>
          <w:rStyle w:val="CharacterStyle2"/>
          <w:rFonts w:ascii="Times New Roman" w:hAnsi="Times New Roman" w:cs="Times New Roman"/>
          <w:i/>
          <w:iCs/>
          <w:sz w:val="22"/>
          <w:szCs w:val="24"/>
        </w:rPr>
        <w:t xml:space="preserve">European Journal of Purchasing and Supply Management, 4(2), </w:t>
      </w:r>
      <w:r w:rsidRPr="00F910B2">
        <w:rPr>
          <w:rStyle w:val="CharacterStyle2"/>
          <w:rFonts w:ascii="Times New Roman" w:hAnsi="Times New Roman" w:cs="Times New Roman"/>
          <w:sz w:val="22"/>
          <w:szCs w:val="24"/>
        </w:rPr>
        <w:t>97-107.</w:t>
      </w:r>
    </w:p>
    <w:p w:rsidR="0050382E" w:rsidRPr="00F910B2" w:rsidRDefault="005D0E4C" w:rsidP="00F910B2">
      <w:pPr>
        <w:pStyle w:val="Style7"/>
        <w:spacing w:line="240" w:lineRule="auto"/>
        <w:ind w:left="360" w:hanging="360"/>
        <w:rPr>
          <w:rStyle w:val="CharacterStyle2"/>
          <w:rFonts w:ascii="Times New Roman" w:hAnsi="Times New Roman" w:cs="Times New Roman"/>
          <w:sz w:val="22"/>
          <w:szCs w:val="24"/>
        </w:rPr>
      </w:pPr>
      <w:r w:rsidRPr="00F910B2">
        <w:rPr>
          <w:rStyle w:val="CharacterStyle2"/>
          <w:rFonts w:ascii="Times New Roman" w:hAnsi="Times New Roman" w:cs="Times New Roman"/>
          <w:sz w:val="22"/>
          <w:szCs w:val="24"/>
        </w:rPr>
        <w:t xml:space="preserve">Forker, L.B. (1996). Countertrade's impact on the supply function. </w:t>
      </w:r>
      <w:r w:rsidRPr="00F910B2">
        <w:rPr>
          <w:rStyle w:val="CharacterStyle2"/>
          <w:rFonts w:ascii="Times New Roman" w:hAnsi="Times New Roman" w:cs="Times New Roman"/>
          <w:i/>
          <w:iCs/>
          <w:sz w:val="22"/>
          <w:szCs w:val="24"/>
        </w:rPr>
        <w:t xml:space="preserve">International Journal of Purchasing and Materials Management, </w:t>
      </w:r>
      <w:r w:rsidRPr="00F910B2">
        <w:rPr>
          <w:rStyle w:val="CharacterStyle2"/>
          <w:rFonts w:ascii="Times New Roman" w:hAnsi="Times New Roman" w:cs="Times New Roman"/>
          <w:sz w:val="22"/>
          <w:szCs w:val="24"/>
        </w:rPr>
        <w:t>32(4), 37-45.</w:t>
      </w:r>
    </w:p>
    <w:p w:rsidR="0050382E" w:rsidRPr="00F910B2" w:rsidRDefault="005D0E4C" w:rsidP="00F910B2">
      <w:pPr>
        <w:pStyle w:val="Style7"/>
        <w:spacing w:line="240" w:lineRule="auto"/>
        <w:ind w:left="360" w:hanging="360"/>
        <w:rPr>
          <w:rStyle w:val="CharacterStyle2"/>
          <w:rFonts w:ascii="Times New Roman" w:hAnsi="Times New Roman" w:cs="Times New Roman"/>
          <w:sz w:val="22"/>
          <w:szCs w:val="24"/>
        </w:rPr>
      </w:pPr>
      <w:r w:rsidRPr="00F910B2">
        <w:rPr>
          <w:rStyle w:val="CharacterStyle2"/>
          <w:rFonts w:ascii="Times New Roman" w:hAnsi="Times New Roman" w:cs="Times New Roman"/>
          <w:sz w:val="22"/>
          <w:szCs w:val="24"/>
        </w:rPr>
        <w:t xml:space="preserve">Hennart, J.F. (1989). The transaction-cost rationale for countertrade. </w:t>
      </w:r>
      <w:r w:rsidRPr="00F910B2">
        <w:rPr>
          <w:rStyle w:val="CharacterStyle2"/>
          <w:rFonts w:ascii="Times New Roman" w:hAnsi="Times New Roman" w:cs="Times New Roman"/>
          <w:i/>
          <w:iCs/>
          <w:sz w:val="22"/>
          <w:szCs w:val="24"/>
        </w:rPr>
        <w:t xml:space="preserve">Journal of Law, Economics &amp; Organization, 5(1), </w:t>
      </w:r>
      <w:r w:rsidRPr="00F910B2">
        <w:rPr>
          <w:rStyle w:val="CharacterStyle2"/>
          <w:rFonts w:ascii="Times New Roman" w:hAnsi="Times New Roman" w:cs="Times New Roman"/>
          <w:sz w:val="22"/>
          <w:szCs w:val="24"/>
        </w:rPr>
        <w:t>127-153.</w:t>
      </w:r>
    </w:p>
    <w:p w:rsidR="00F215FE" w:rsidRPr="00F910B2" w:rsidRDefault="005D0E4C" w:rsidP="00F910B2">
      <w:pPr>
        <w:pStyle w:val="Style7"/>
        <w:spacing w:line="240" w:lineRule="auto"/>
        <w:ind w:left="360" w:hanging="360"/>
        <w:rPr>
          <w:rStyle w:val="CharacterStyle2"/>
          <w:rFonts w:ascii="Times New Roman" w:hAnsi="Times New Roman" w:cs="Times New Roman"/>
          <w:sz w:val="22"/>
          <w:szCs w:val="24"/>
        </w:rPr>
      </w:pPr>
      <w:r w:rsidRPr="00F910B2">
        <w:rPr>
          <w:rStyle w:val="CharacterStyle2"/>
          <w:rFonts w:ascii="Times New Roman" w:hAnsi="Times New Roman" w:cs="Times New Roman"/>
          <w:sz w:val="22"/>
          <w:szCs w:val="24"/>
        </w:rPr>
        <w:t xml:space="preserve">Hennart, J.F. (1990) Some empirical dimension of countertrade. </w:t>
      </w:r>
      <w:r w:rsidRPr="00F910B2">
        <w:rPr>
          <w:rStyle w:val="CharacterStyle2"/>
          <w:rFonts w:ascii="Times New Roman" w:hAnsi="Times New Roman" w:cs="Times New Roman"/>
          <w:i/>
          <w:iCs/>
          <w:sz w:val="22"/>
          <w:szCs w:val="24"/>
        </w:rPr>
        <w:t xml:space="preserve">Journal of International Business Studies, (2), </w:t>
      </w:r>
      <w:r w:rsidRPr="00F910B2">
        <w:rPr>
          <w:rStyle w:val="CharacterStyle2"/>
          <w:rFonts w:ascii="Times New Roman" w:hAnsi="Times New Roman" w:cs="Times New Roman"/>
          <w:sz w:val="22"/>
          <w:szCs w:val="24"/>
        </w:rPr>
        <w:t>243-227.</w:t>
      </w:r>
    </w:p>
    <w:p w:rsidR="0050382E" w:rsidRPr="00F910B2" w:rsidRDefault="005D0E4C" w:rsidP="00F910B2">
      <w:pPr>
        <w:pStyle w:val="Style1"/>
        <w:adjustRightInd/>
        <w:ind w:left="360" w:hanging="360"/>
        <w:jc w:val="both"/>
        <w:rPr>
          <w:sz w:val="22"/>
          <w:szCs w:val="24"/>
        </w:rPr>
      </w:pPr>
      <w:r w:rsidRPr="00F910B2">
        <w:rPr>
          <w:sz w:val="22"/>
          <w:szCs w:val="24"/>
        </w:rPr>
        <w:lastRenderedPageBreak/>
        <w:t xml:space="preserve">Hennart, J.F. and Anderson, E. (1993). Countertrade and the minimization of transaction costs: an empirical examination. </w:t>
      </w:r>
      <w:r w:rsidRPr="00F910B2">
        <w:rPr>
          <w:i/>
          <w:iCs/>
          <w:sz w:val="22"/>
          <w:szCs w:val="24"/>
        </w:rPr>
        <w:t xml:space="preserve">Journal of Law, Economics &amp; Organization, 9(2), </w:t>
      </w:r>
      <w:r w:rsidRPr="00F910B2">
        <w:rPr>
          <w:sz w:val="22"/>
          <w:szCs w:val="24"/>
        </w:rPr>
        <w:t>290-313.</w:t>
      </w:r>
    </w:p>
    <w:p w:rsidR="0050382E" w:rsidRPr="00F910B2" w:rsidRDefault="005D0E4C" w:rsidP="00F910B2">
      <w:pPr>
        <w:pStyle w:val="Style7"/>
        <w:spacing w:line="240" w:lineRule="auto"/>
        <w:ind w:left="360" w:hanging="360"/>
        <w:jc w:val="both"/>
        <w:rPr>
          <w:rStyle w:val="CharacterStyle2"/>
          <w:rFonts w:ascii="Times New Roman" w:hAnsi="Times New Roman" w:cs="Times New Roman"/>
          <w:sz w:val="22"/>
          <w:szCs w:val="24"/>
        </w:rPr>
      </w:pPr>
      <w:r w:rsidRPr="00F910B2">
        <w:rPr>
          <w:rStyle w:val="CharacterStyle2"/>
          <w:rFonts w:ascii="Times New Roman" w:hAnsi="Times New Roman" w:cs="Times New Roman"/>
          <w:sz w:val="22"/>
          <w:szCs w:val="24"/>
        </w:rPr>
        <w:t xml:space="preserve">Lecraw, D.J. (1989). The management of countertrade: factor influencing success. </w:t>
      </w:r>
      <w:r w:rsidRPr="00F910B2">
        <w:rPr>
          <w:rStyle w:val="CharacterStyle2"/>
          <w:rFonts w:ascii="Times New Roman" w:hAnsi="Times New Roman" w:cs="Times New Roman"/>
          <w:i/>
          <w:iCs/>
          <w:sz w:val="22"/>
          <w:szCs w:val="24"/>
        </w:rPr>
        <w:t xml:space="preserve">Journal of International Business Studies, </w:t>
      </w:r>
      <w:r w:rsidRPr="00F910B2">
        <w:rPr>
          <w:rStyle w:val="CharacterStyle2"/>
          <w:rFonts w:ascii="Times New Roman" w:hAnsi="Times New Roman" w:cs="Times New Roman"/>
          <w:sz w:val="22"/>
          <w:szCs w:val="24"/>
        </w:rPr>
        <w:t>20(1), 41-59.</w:t>
      </w:r>
    </w:p>
    <w:p w:rsidR="0050382E" w:rsidRPr="00F910B2" w:rsidRDefault="005D0E4C" w:rsidP="00F910B2">
      <w:pPr>
        <w:pStyle w:val="Style7"/>
        <w:spacing w:line="240" w:lineRule="auto"/>
        <w:ind w:left="360" w:hanging="360"/>
        <w:jc w:val="both"/>
        <w:rPr>
          <w:rStyle w:val="CharacterStyle2"/>
          <w:rFonts w:ascii="Times New Roman" w:hAnsi="Times New Roman" w:cs="Times New Roman"/>
          <w:sz w:val="22"/>
          <w:szCs w:val="24"/>
        </w:rPr>
      </w:pPr>
      <w:r w:rsidRPr="00F910B2">
        <w:rPr>
          <w:rStyle w:val="CharacterStyle2"/>
          <w:rFonts w:ascii="Times New Roman" w:hAnsi="Times New Roman" w:cs="Times New Roman"/>
          <w:sz w:val="22"/>
          <w:szCs w:val="24"/>
        </w:rPr>
        <w:t xml:space="preserve">Liesch, P.W. and Palia, A.P. (1997). Survey of countertrade practices in Australia. </w:t>
      </w:r>
      <w:r w:rsidRPr="00F910B2">
        <w:rPr>
          <w:rStyle w:val="CharacterStyle2"/>
          <w:rFonts w:ascii="Times New Roman" w:hAnsi="Times New Roman" w:cs="Times New Roman"/>
          <w:i/>
          <w:iCs/>
          <w:sz w:val="22"/>
          <w:szCs w:val="24"/>
        </w:rPr>
        <w:t xml:space="preserve">Industrial Marketing Management, </w:t>
      </w:r>
      <w:r w:rsidRPr="00F910B2">
        <w:rPr>
          <w:rStyle w:val="CharacterStyle2"/>
          <w:rFonts w:ascii="Times New Roman" w:hAnsi="Times New Roman" w:cs="Times New Roman"/>
          <w:sz w:val="22"/>
          <w:szCs w:val="24"/>
        </w:rPr>
        <w:t>26(4), 301-313.</w:t>
      </w:r>
    </w:p>
    <w:p w:rsidR="0050382E" w:rsidRPr="00F910B2" w:rsidRDefault="005D0E4C" w:rsidP="00F910B2">
      <w:pPr>
        <w:pStyle w:val="Style1"/>
        <w:adjustRightInd/>
        <w:ind w:left="360" w:hanging="360"/>
        <w:jc w:val="both"/>
        <w:rPr>
          <w:sz w:val="22"/>
          <w:szCs w:val="24"/>
        </w:rPr>
      </w:pPr>
      <w:r w:rsidRPr="00F910B2">
        <w:rPr>
          <w:sz w:val="22"/>
          <w:szCs w:val="24"/>
        </w:rPr>
        <w:t xml:space="preserve">Liesch, P.W. and Palia, A.P. (1999). Australian perception and experiences of international countertrade with some international comparison. </w:t>
      </w:r>
      <w:r w:rsidRPr="00F910B2">
        <w:rPr>
          <w:i/>
          <w:iCs/>
          <w:sz w:val="22"/>
          <w:szCs w:val="24"/>
        </w:rPr>
        <w:t xml:space="preserve">European Journal of Marketing, </w:t>
      </w:r>
      <w:r w:rsidRPr="00F910B2">
        <w:rPr>
          <w:sz w:val="22"/>
          <w:szCs w:val="24"/>
        </w:rPr>
        <w:t>33(5/6), 488</w:t>
      </w:r>
      <w:r w:rsidRPr="00F910B2">
        <w:rPr>
          <w:sz w:val="22"/>
          <w:szCs w:val="24"/>
        </w:rPr>
        <w:softHyphen/>
        <w:t>512.</w:t>
      </w:r>
    </w:p>
    <w:p w:rsidR="0050382E" w:rsidRPr="00F910B2" w:rsidRDefault="005D0E4C" w:rsidP="00F910B2">
      <w:pPr>
        <w:pStyle w:val="Style7"/>
        <w:spacing w:line="240" w:lineRule="auto"/>
        <w:ind w:left="360" w:hanging="360"/>
        <w:jc w:val="both"/>
        <w:rPr>
          <w:rStyle w:val="CharacterStyle2"/>
          <w:rFonts w:ascii="Times New Roman" w:hAnsi="Times New Roman" w:cs="Times New Roman"/>
          <w:sz w:val="22"/>
          <w:szCs w:val="24"/>
        </w:rPr>
      </w:pPr>
      <w:r w:rsidRPr="00F910B2">
        <w:rPr>
          <w:rStyle w:val="CharacterStyle2"/>
          <w:rFonts w:ascii="Times New Roman" w:hAnsi="Times New Roman" w:cs="Times New Roman"/>
          <w:sz w:val="22"/>
          <w:szCs w:val="24"/>
        </w:rPr>
        <w:t xml:space="preserve">Marin, D. and Schnitzer, M. (2002). The economic institution of international barter. </w:t>
      </w:r>
      <w:r w:rsidRPr="00F910B2">
        <w:rPr>
          <w:rStyle w:val="CharacterStyle2"/>
          <w:rFonts w:ascii="Times New Roman" w:hAnsi="Times New Roman" w:cs="Times New Roman"/>
          <w:i/>
          <w:iCs/>
          <w:sz w:val="22"/>
          <w:szCs w:val="24"/>
        </w:rPr>
        <w:t xml:space="preserve">The Economic Journal, </w:t>
      </w:r>
      <w:r w:rsidRPr="00F910B2">
        <w:rPr>
          <w:rStyle w:val="CharacterStyle2"/>
          <w:rFonts w:ascii="Times New Roman" w:hAnsi="Times New Roman" w:cs="Times New Roman"/>
          <w:sz w:val="22"/>
          <w:szCs w:val="24"/>
        </w:rPr>
        <w:t>112(479), 293-316.</w:t>
      </w:r>
    </w:p>
    <w:p w:rsidR="0050382E" w:rsidRPr="00F910B2" w:rsidRDefault="005D0E4C" w:rsidP="00F910B2">
      <w:pPr>
        <w:pStyle w:val="Style7"/>
        <w:spacing w:line="240" w:lineRule="auto"/>
        <w:ind w:left="360" w:hanging="360"/>
        <w:jc w:val="both"/>
        <w:rPr>
          <w:rStyle w:val="CharacterStyle2"/>
          <w:rFonts w:ascii="Times New Roman" w:hAnsi="Times New Roman" w:cs="Times New Roman"/>
          <w:sz w:val="22"/>
          <w:szCs w:val="24"/>
        </w:rPr>
      </w:pPr>
      <w:r w:rsidRPr="00F910B2">
        <w:rPr>
          <w:rStyle w:val="CharacterStyle2"/>
          <w:rFonts w:ascii="Times New Roman" w:hAnsi="Times New Roman" w:cs="Times New Roman"/>
          <w:sz w:val="22"/>
          <w:szCs w:val="24"/>
        </w:rPr>
        <w:t xml:space="preserve">Minis, R. and Yeung, B. (1993). Why countertrade? An economic perspective. </w:t>
      </w:r>
      <w:r w:rsidRPr="00F910B2">
        <w:rPr>
          <w:rStyle w:val="CharacterStyle2"/>
          <w:rFonts w:ascii="Times New Roman" w:hAnsi="Times New Roman" w:cs="Times New Roman"/>
          <w:i/>
          <w:iCs/>
          <w:sz w:val="22"/>
          <w:szCs w:val="24"/>
        </w:rPr>
        <w:t xml:space="preserve">International Trade Journal, 7(4), </w:t>
      </w:r>
      <w:r w:rsidRPr="00F910B2">
        <w:rPr>
          <w:rStyle w:val="CharacterStyle2"/>
          <w:rFonts w:ascii="Times New Roman" w:hAnsi="Times New Roman" w:cs="Times New Roman"/>
          <w:sz w:val="22"/>
          <w:szCs w:val="24"/>
        </w:rPr>
        <w:t>409-433.</w:t>
      </w:r>
    </w:p>
    <w:p w:rsidR="0050382E" w:rsidRPr="00F910B2" w:rsidRDefault="005D0E4C" w:rsidP="00F910B2">
      <w:pPr>
        <w:pStyle w:val="Style7"/>
        <w:spacing w:line="240" w:lineRule="auto"/>
        <w:ind w:left="360" w:hanging="360"/>
        <w:jc w:val="both"/>
        <w:rPr>
          <w:rStyle w:val="CharacterStyle2"/>
          <w:rFonts w:ascii="Times New Roman" w:hAnsi="Times New Roman" w:cs="Times New Roman"/>
          <w:sz w:val="22"/>
          <w:szCs w:val="24"/>
        </w:rPr>
      </w:pPr>
      <w:r w:rsidRPr="00F910B2">
        <w:rPr>
          <w:rStyle w:val="CharacterStyle2"/>
          <w:rFonts w:ascii="Times New Roman" w:hAnsi="Times New Roman" w:cs="Times New Roman"/>
          <w:sz w:val="22"/>
          <w:szCs w:val="24"/>
        </w:rPr>
        <w:t xml:space="preserve">Qiu, L.D. and Tao, Z. (2001). Export, foreign direct investment and local content requirement. </w:t>
      </w:r>
      <w:r w:rsidRPr="00F910B2">
        <w:rPr>
          <w:rStyle w:val="CharacterStyle2"/>
          <w:rFonts w:ascii="Times New Roman" w:hAnsi="Times New Roman" w:cs="Times New Roman"/>
          <w:i/>
          <w:iCs/>
          <w:sz w:val="22"/>
          <w:szCs w:val="24"/>
        </w:rPr>
        <w:t xml:space="preserve">European Journal of Development Economics, </w:t>
      </w:r>
      <w:r w:rsidRPr="00F910B2">
        <w:rPr>
          <w:rStyle w:val="CharacterStyle2"/>
          <w:rFonts w:ascii="Times New Roman" w:hAnsi="Times New Roman" w:cs="Times New Roman"/>
          <w:sz w:val="22"/>
          <w:szCs w:val="24"/>
        </w:rPr>
        <w:t>661,101-125.</w:t>
      </w:r>
    </w:p>
    <w:p w:rsidR="0050382E" w:rsidRPr="00F910B2" w:rsidRDefault="005D0E4C" w:rsidP="00F910B2">
      <w:pPr>
        <w:pStyle w:val="Style7"/>
        <w:spacing w:line="240" w:lineRule="auto"/>
        <w:ind w:left="360" w:hanging="360"/>
        <w:jc w:val="both"/>
        <w:rPr>
          <w:rStyle w:val="CharacterStyle2"/>
          <w:rFonts w:ascii="Times New Roman" w:hAnsi="Times New Roman" w:cs="Times New Roman"/>
          <w:sz w:val="22"/>
          <w:szCs w:val="24"/>
        </w:rPr>
      </w:pPr>
      <w:r w:rsidRPr="00F910B2">
        <w:rPr>
          <w:rStyle w:val="CharacterStyle2"/>
          <w:rFonts w:ascii="Times New Roman" w:hAnsi="Times New Roman" w:cs="Times New Roman"/>
          <w:sz w:val="22"/>
          <w:szCs w:val="24"/>
        </w:rPr>
        <w:t xml:space="preserve">United States Department of Commerce. (1978). </w:t>
      </w:r>
      <w:r w:rsidRPr="00F910B2">
        <w:rPr>
          <w:rStyle w:val="CharacterStyle2"/>
          <w:rFonts w:ascii="Times New Roman" w:hAnsi="Times New Roman" w:cs="Times New Roman"/>
          <w:i/>
          <w:iCs/>
          <w:sz w:val="22"/>
          <w:szCs w:val="24"/>
        </w:rPr>
        <w:t xml:space="preserve">East-West Countertrade Practices. </w:t>
      </w:r>
      <w:r w:rsidRPr="00F910B2">
        <w:rPr>
          <w:rStyle w:val="CharacterStyle2"/>
          <w:rFonts w:ascii="Times New Roman" w:hAnsi="Times New Roman" w:cs="Times New Roman"/>
          <w:sz w:val="22"/>
          <w:szCs w:val="24"/>
        </w:rPr>
        <w:t>Washington, DC: US Government Printing Office.</w:t>
      </w:r>
    </w:p>
    <w:p w:rsidR="005D0E4C" w:rsidRPr="00F910B2" w:rsidRDefault="005D0E4C" w:rsidP="00F910B2">
      <w:pPr>
        <w:pStyle w:val="Style7"/>
        <w:spacing w:line="240" w:lineRule="auto"/>
        <w:ind w:left="360" w:hanging="360"/>
        <w:jc w:val="both"/>
        <w:rPr>
          <w:rStyle w:val="CharacterStyle2"/>
          <w:rFonts w:ascii="Times New Roman" w:hAnsi="Times New Roman" w:cs="Times New Roman"/>
          <w:sz w:val="22"/>
          <w:szCs w:val="24"/>
        </w:rPr>
      </w:pPr>
      <w:r w:rsidRPr="00F910B2">
        <w:rPr>
          <w:rStyle w:val="CharacterStyle2"/>
          <w:rFonts w:ascii="Times New Roman" w:hAnsi="Times New Roman" w:cs="Times New Roman"/>
          <w:sz w:val="22"/>
          <w:szCs w:val="24"/>
        </w:rPr>
        <w:t xml:space="preserve">United States Department of Commerce. (2007). </w:t>
      </w:r>
      <w:r w:rsidRPr="00F910B2">
        <w:rPr>
          <w:rStyle w:val="CharacterStyle2"/>
          <w:rFonts w:ascii="Times New Roman" w:hAnsi="Times New Roman" w:cs="Times New Roman"/>
          <w:i/>
          <w:iCs/>
          <w:sz w:val="22"/>
          <w:szCs w:val="24"/>
        </w:rPr>
        <w:t xml:space="preserve">East-West Countertrade Practices. </w:t>
      </w:r>
      <w:r w:rsidRPr="00F910B2">
        <w:rPr>
          <w:rStyle w:val="CharacterStyle2"/>
          <w:rFonts w:ascii="Times New Roman" w:hAnsi="Times New Roman" w:cs="Times New Roman"/>
          <w:sz w:val="22"/>
          <w:szCs w:val="24"/>
        </w:rPr>
        <w:t>Washington, DC: US Government Printing Office.</w:t>
      </w:r>
    </w:p>
    <w:sectPr w:rsidR="005D0E4C" w:rsidRPr="00F910B2" w:rsidSect="00A36392">
      <w:headerReference w:type="even" r:id="rId8"/>
      <w:headerReference w:type="default" r:id="rId9"/>
      <w:footerReference w:type="even" r:id="rId10"/>
      <w:footerReference w:type="default" r:id="rId11"/>
      <w:headerReference w:type="first" r:id="rId12"/>
      <w:footerReference w:type="first" r:id="rId13"/>
      <w:pgSz w:w="12240" w:h="15840" w:code="1"/>
      <w:pgMar w:top="1728" w:right="1728" w:bottom="1152" w:left="1872" w:header="720" w:footer="720" w:gutter="0"/>
      <w:pgNumType w:start="195"/>
      <w:cols w:space="720"/>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4A7C" w:rsidRDefault="00184A7C" w:rsidP="00406E35">
      <w:r>
        <w:separator/>
      </w:r>
    </w:p>
  </w:endnote>
  <w:endnote w:type="continuationSeparator" w:id="0">
    <w:p w:rsidR="00184A7C" w:rsidRDefault="00184A7C" w:rsidP="00406E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6E35" w:rsidRDefault="00406E3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6E35" w:rsidRDefault="00406E3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6E35" w:rsidRDefault="00406E3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4A7C" w:rsidRDefault="00184A7C" w:rsidP="00406E35">
      <w:r>
        <w:separator/>
      </w:r>
    </w:p>
  </w:footnote>
  <w:footnote w:type="continuationSeparator" w:id="0">
    <w:p w:rsidR="00184A7C" w:rsidRDefault="00184A7C" w:rsidP="00406E3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rPr>
      <w:id w:val="270594051"/>
      <w:docPartObj>
        <w:docPartGallery w:val="Page Numbers (Top of Page)"/>
        <w:docPartUnique/>
      </w:docPartObj>
    </w:sdtPr>
    <w:sdtEndPr>
      <w:rPr>
        <w:noProof/>
      </w:rPr>
    </w:sdtEndPr>
    <w:sdtContent>
      <w:p w:rsidR="00A36392" w:rsidRPr="00A36392" w:rsidRDefault="00A36392">
        <w:pPr>
          <w:pStyle w:val="Header"/>
          <w:rPr>
            <w:rFonts w:ascii="Tahoma" w:hAnsi="Tahoma" w:cs="Tahoma"/>
          </w:rPr>
        </w:pPr>
        <w:r w:rsidRPr="00A36392">
          <w:rPr>
            <w:rFonts w:ascii="Tahoma" w:hAnsi="Tahoma" w:cs="Tahoma"/>
          </w:rPr>
          <w:fldChar w:fldCharType="begin"/>
        </w:r>
        <w:r w:rsidRPr="00A36392">
          <w:rPr>
            <w:rFonts w:ascii="Tahoma" w:hAnsi="Tahoma" w:cs="Tahoma"/>
          </w:rPr>
          <w:instrText xml:space="preserve"> PAGE   \* MERGEFORMAT </w:instrText>
        </w:r>
        <w:r w:rsidRPr="00A36392">
          <w:rPr>
            <w:rFonts w:ascii="Tahoma" w:hAnsi="Tahoma" w:cs="Tahoma"/>
          </w:rPr>
          <w:fldChar w:fldCharType="separate"/>
        </w:r>
        <w:r>
          <w:rPr>
            <w:rFonts w:ascii="Tahoma" w:hAnsi="Tahoma" w:cs="Tahoma"/>
            <w:noProof/>
          </w:rPr>
          <w:t>206</w:t>
        </w:r>
        <w:r w:rsidRPr="00A36392">
          <w:rPr>
            <w:rFonts w:ascii="Tahoma" w:hAnsi="Tahoma" w:cs="Tahoma"/>
            <w:noProof/>
          </w:rPr>
          <w:fldChar w:fldCharType="end"/>
        </w:r>
        <w:r w:rsidRPr="00A36392">
          <w:rPr>
            <w:rFonts w:ascii="Tahoma" w:hAnsi="Tahoma" w:cs="Tahoma"/>
            <w:noProof/>
          </w:rPr>
          <w:t xml:space="preserve">   </w:t>
        </w:r>
        <w:r w:rsidRPr="00A36392">
          <w:rPr>
            <w:rFonts w:ascii="Tahoma" w:hAnsi="Tahoma" w:cs="Tahoma"/>
            <w:noProof/>
            <w:spacing w:val="16"/>
          </w:rPr>
          <w:t>International Operations Management</w:t>
        </w:r>
      </w:p>
    </w:sdtContent>
  </w:sdt>
  <w:p w:rsidR="00406E35" w:rsidRDefault="00406E3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spacing w:val="16"/>
      </w:rPr>
      <w:id w:val="1242750264"/>
      <w:docPartObj>
        <w:docPartGallery w:val="Page Numbers (Top of Page)"/>
        <w:docPartUnique/>
      </w:docPartObj>
    </w:sdtPr>
    <w:sdtEndPr>
      <w:rPr>
        <w:noProof/>
        <w:spacing w:val="0"/>
      </w:rPr>
    </w:sdtEndPr>
    <w:sdtContent>
      <w:p w:rsidR="00A36392" w:rsidRPr="00A36392" w:rsidRDefault="00A36392">
        <w:pPr>
          <w:pStyle w:val="Header"/>
          <w:jc w:val="right"/>
          <w:rPr>
            <w:rFonts w:ascii="Tahoma" w:hAnsi="Tahoma" w:cs="Tahoma"/>
          </w:rPr>
        </w:pPr>
        <w:r w:rsidRPr="00A36392">
          <w:rPr>
            <w:rFonts w:ascii="Tahoma" w:hAnsi="Tahoma" w:cs="Tahoma"/>
            <w:spacing w:val="16"/>
          </w:rPr>
          <w:t>Danieli Case Study</w:t>
        </w:r>
        <w:r>
          <w:rPr>
            <w:rFonts w:ascii="Tahoma" w:hAnsi="Tahoma" w:cs="Tahoma"/>
          </w:rPr>
          <w:t xml:space="preserve">   </w:t>
        </w:r>
        <w:r w:rsidRPr="00A36392">
          <w:rPr>
            <w:rFonts w:ascii="Tahoma" w:hAnsi="Tahoma" w:cs="Tahoma"/>
          </w:rPr>
          <w:fldChar w:fldCharType="begin"/>
        </w:r>
        <w:r w:rsidRPr="00A36392">
          <w:rPr>
            <w:rFonts w:ascii="Tahoma" w:hAnsi="Tahoma" w:cs="Tahoma"/>
          </w:rPr>
          <w:instrText xml:space="preserve"> PAGE   \* MERGEFORMAT </w:instrText>
        </w:r>
        <w:r w:rsidRPr="00A36392">
          <w:rPr>
            <w:rFonts w:ascii="Tahoma" w:hAnsi="Tahoma" w:cs="Tahoma"/>
          </w:rPr>
          <w:fldChar w:fldCharType="separate"/>
        </w:r>
        <w:r>
          <w:rPr>
            <w:rFonts w:ascii="Tahoma" w:hAnsi="Tahoma" w:cs="Tahoma"/>
            <w:noProof/>
          </w:rPr>
          <w:t>197</w:t>
        </w:r>
        <w:r w:rsidRPr="00A36392">
          <w:rPr>
            <w:rFonts w:ascii="Tahoma" w:hAnsi="Tahoma" w:cs="Tahoma"/>
            <w:noProof/>
          </w:rPr>
          <w:fldChar w:fldCharType="end"/>
        </w:r>
      </w:p>
    </w:sdtContent>
  </w:sdt>
  <w:p w:rsidR="00406E35" w:rsidRDefault="00406E35">
    <w:pPr>
      <w:pStyle w:val="Header"/>
    </w:pP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6E35" w:rsidRDefault="00406E3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6ABDA"/>
    <w:multiLevelType w:val="singleLevel"/>
    <w:tmpl w:val="42ECA92B"/>
    <w:lvl w:ilvl="0">
      <w:start w:val="1"/>
      <w:numFmt w:val="decimal"/>
      <w:lvlText w:val="%1."/>
      <w:lvlJc w:val="left"/>
      <w:pPr>
        <w:tabs>
          <w:tab w:val="num" w:pos="432"/>
        </w:tabs>
        <w:ind w:left="216"/>
      </w:pPr>
      <w:rPr>
        <w:rFonts w:ascii="Arial" w:hAnsi="Arial" w:cs="Arial"/>
        <w:snapToGrid/>
        <w:sz w:val="18"/>
        <w:szCs w:val="18"/>
      </w:rPr>
    </w:lvl>
  </w:abstractNum>
  <w:abstractNum w:abstractNumId="1">
    <w:nsid w:val="01825995"/>
    <w:multiLevelType w:val="singleLevel"/>
    <w:tmpl w:val="231416D2"/>
    <w:lvl w:ilvl="0">
      <w:numFmt w:val="bullet"/>
      <w:lvlText w:val="·"/>
      <w:lvlJc w:val="left"/>
      <w:pPr>
        <w:tabs>
          <w:tab w:val="num" w:pos="360"/>
        </w:tabs>
      </w:pPr>
      <w:rPr>
        <w:rFonts w:ascii="Symbol" w:hAnsi="Symbol" w:cs="Symbol"/>
        <w:snapToGrid/>
        <w:sz w:val="18"/>
        <w:szCs w:val="18"/>
      </w:rPr>
    </w:lvl>
  </w:abstractNum>
  <w:abstractNum w:abstractNumId="2">
    <w:nsid w:val="0506CA35"/>
    <w:multiLevelType w:val="singleLevel"/>
    <w:tmpl w:val="38D117E1"/>
    <w:lvl w:ilvl="0">
      <w:start w:val="4"/>
      <w:numFmt w:val="decimal"/>
      <w:lvlText w:val="%1."/>
      <w:lvlJc w:val="left"/>
      <w:pPr>
        <w:tabs>
          <w:tab w:val="num" w:pos="360"/>
        </w:tabs>
        <w:ind w:left="360" w:hanging="360"/>
      </w:pPr>
      <w:rPr>
        <w:rFonts w:ascii="Bookman Old Style" w:hAnsi="Bookman Old Style" w:cs="Bookman Old Style"/>
        <w:snapToGrid/>
        <w:spacing w:val="-3"/>
        <w:sz w:val="18"/>
        <w:szCs w:val="18"/>
      </w:rPr>
    </w:lvl>
  </w:abstractNum>
  <w:abstractNum w:abstractNumId="3">
    <w:nsid w:val="078FD2D1"/>
    <w:multiLevelType w:val="singleLevel"/>
    <w:tmpl w:val="5315C8BD"/>
    <w:lvl w:ilvl="0">
      <w:start w:val="1"/>
      <w:numFmt w:val="decimal"/>
      <w:lvlText w:val="%1."/>
      <w:lvlJc w:val="left"/>
      <w:pPr>
        <w:tabs>
          <w:tab w:val="num" w:pos="432"/>
        </w:tabs>
        <w:ind w:left="648" w:hanging="432"/>
      </w:pPr>
      <w:rPr>
        <w:rFonts w:ascii="Arial" w:hAnsi="Arial" w:cs="Arial"/>
        <w:snapToGrid/>
        <w:sz w:val="18"/>
        <w:szCs w:val="18"/>
      </w:rPr>
    </w:lvl>
  </w:abstractNum>
  <w:abstractNum w:abstractNumId="4">
    <w:nsid w:val="07961162"/>
    <w:multiLevelType w:val="singleLevel"/>
    <w:tmpl w:val="45F86ECF"/>
    <w:lvl w:ilvl="0">
      <w:start w:val="1"/>
      <w:numFmt w:val="decimal"/>
      <w:lvlText w:val="%1."/>
      <w:lvlJc w:val="left"/>
      <w:pPr>
        <w:tabs>
          <w:tab w:val="num" w:pos="360"/>
        </w:tabs>
        <w:ind w:left="360" w:hanging="360"/>
      </w:pPr>
      <w:rPr>
        <w:rFonts w:ascii="Bookman Old Style" w:hAnsi="Bookman Old Style" w:cs="Bookman Old Style"/>
        <w:snapToGrid/>
        <w:spacing w:val="-1"/>
        <w:sz w:val="18"/>
        <w:szCs w:val="18"/>
      </w:rPr>
    </w:lvl>
  </w:abstractNum>
  <w:abstractNum w:abstractNumId="5">
    <w:nsid w:val="2A314D6C"/>
    <w:multiLevelType w:val="hybridMultilevel"/>
    <w:tmpl w:val="E55CAA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F490EF0"/>
    <w:multiLevelType w:val="hybridMultilevel"/>
    <w:tmpl w:val="6ED67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
    <w:lvlOverride w:ilvl="0">
      <w:lvl w:ilvl="0">
        <w:numFmt w:val="bullet"/>
        <w:lvlText w:val="·"/>
        <w:lvlJc w:val="left"/>
        <w:pPr>
          <w:tabs>
            <w:tab w:val="num" w:pos="288"/>
          </w:tabs>
          <w:ind w:left="288" w:hanging="288"/>
        </w:pPr>
        <w:rPr>
          <w:rFonts w:ascii="Symbol" w:hAnsi="Symbol" w:cs="Symbol"/>
          <w:i w:val="0"/>
          <w:iCs/>
          <w:snapToGrid/>
          <w:spacing w:val="-2"/>
          <w:sz w:val="18"/>
          <w:szCs w:val="18"/>
        </w:rPr>
      </w:lvl>
    </w:lvlOverride>
  </w:num>
  <w:num w:numId="3">
    <w:abstractNumId w:val="1"/>
    <w:lvlOverride w:ilvl="0">
      <w:lvl w:ilvl="0">
        <w:numFmt w:val="bullet"/>
        <w:lvlText w:val="·"/>
        <w:lvlJc w:val="left"/>
        <w:pPr>
          <w:tabs>
            <w:tab w:val="num" w:pos="72"/>
          </w:tabs>
          <w:ind w:left="288" w:hanging="288"/>
        </w:pPr>
        <w:rPr>
          <w:rFonts w:ascii="Symbol" w:hAnsi="Symbol" w:cs="Symbol"/>
          <w:snapToGrid/>
          <w:spacing w:val="7"/>
          <w:sz w:val="18"/>
          <w:szCs w:val="18"/>
        </w:rPr>
      </w:lvl>
    </w:lvlOverride>
  </w:num>
  <w:num w:numId="4">
    <w:abstractNumId w:val="4"/>
  </w:num>
  <w:num w:numId="5">
    <w:abstractNumId w:val="2"/>
  </w:num>
  <w:num w:numId="6">
    <w:abstractNumId w:val="2"/>
    <w:lvlOverride w:ilvl="0">
      <w:lvl w:ilvl="0">
        <w:numFmt w:val="decimal"/>
        <w:lvlText w:val="%1."/>
        <w:lvlJc w:val="left"/>
        <w:pPr>
          <w:tabs>
            <w:tab w:val="num" w:pos="288"/>
          </w:tabs>
          <w:ind w:left="288" w:hanging="288"/>
        </w:pPr>
        <w:rPr>
          <w:rFonts w:ascii="Bookman Old Style" w:hAnsi="Bookman Old Style" w:cs="Bookman Old Style"/>
          <w:snapToGrid/>
          <w:spacing w:val="4"/>
          <w:sz w:val="18"/>
          <w:szCs w:val="18"/>
        </w:rPr>
      </w:lvl>
    </w:lvlOverride>
  </w:num>
  <w:num w:numId="7">
    <w:abstractNumId w:val="0"/>
  </w:num>
  <w:num w:numId="8">
    <w:abstractNumId w:val="0"/>
    <w:lvlOverride w:ilvl="0">
      <w:lvl w:ilvl="0">
        <w:numFmt w:val="decimal"/>
        <w:lvlText w:val="%1."/>
        <w:lvlJc w:val="left"/>
        <w:pPr>
          <w:tabs>
            <w:tab w:val="num" w:pos="432"/>
          </w:tabs>
          <w:ind w:left="216"/>
        </w:pPr>
        <w:rPr>
          <w:rFonts w:ascii="Arial" w:hAnsi="Arial" w:cs="Arial"/>
          <w:snapToGrid/>
          <w:sz w:val="18"/>
          <w:szCs w:val="18"/>
        </w:rPr>
      </w:lvl>
    </w:lvlOverride>
  </w:num>
  <w:num w:numId="9">
    <w:abstractNumId w:val="3"/>
  </w:num>
  <w:num w:numId="10">
    <w:abstractNumId w:val="3"/>
    <w:lvlOverride w:ilvl="0">
      <w:lvl w:ilvl="0">
        <w:numFmt w:val="decimal"/>
        <w:lvlText w:val="%1."/>
        <w:lvlJc w:val="left"/>
        <w:pPr>
          <w:tabs>
            <w:tab w:val="num" w:pos="432"/>
          </w:tabs>
          <w:ind w:left="648" w:hanging="432"/>
        </w:pPr>
        <w:rPr>
          <w:rFonts w:ascii="Arial" w:hAnsi="Arial" w:cs="Arial"/>
          <w:snapToGrid/>
          <w:spacing w:val="-3"/>
          <w:sz w:val="18"/>
          <w:szCs w:val="18"/>
        </w:rPr>
      </w:lvl>
    </w:lvlOverride>
  </w:num>
  <w:num w:numId="11">
    <w:abstractNumId w:val="5"/>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evenAndOddHeader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4859"/>
    <w:rsid w:val="00142F99"/>
    <w:rsid w:val="00184A7C"/>
    <w:rsid w:val="00406E35"/>
    <w:rsid w:val="00441A89"/>
    <w:rsid w:val="004B7B7C"/>
    <w:rsid w:val="0050382E"/>
    <w:rsid w:val="00556F2B"/>
    <w:rsid w:val="005D0E4C"/>
    <w:rsid w:val="006F62A4"/>
    <w:rsid w:val="007504B5"/>
    <w:rsid w:val="00872567"/>
    <w:rsid w:val="008C7239"/>
    <w:rsid w:val="008F1958"/>
    <w:rsid w:val="009B4153"/>
    <w:rsid w:val="00A1696A"/>
    <w:rsid w:val="00A36392"/>
    <w:rsid w:val="00AE1C02"/>
    <w:rsid w:val="00B311C2"/>
    <w:rsid w:val="00D64859"/>
    <w:rsid w:val="00F215FE"/>
    <w:rsid w:val="00F21B52"/>
    <w:rsid w:val="00F42119"/>
    <w:rsid w:val="00F910B2"/>
    <w:rsid w:val="00F945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B6BEAF05-C54F-45B3-A1E6-0C2305523E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2"/>
        <w:lang w:val="en-US" w:eastAsia="en-US" w:bidi="ar-SA"/>
        <w14:ligatures w14:val="standard"/>
      </w:rPr>
    </w:rPrDefault>
    <w:pPrDefault>
      <w:pPr>
        <w:spacing w:after="160" w:line="259" w:lineRule="auto"/>
      </w:pPr>
    </w:pPrDefault>
  </w:docDefaults>
  <w:latentStyles w:defLockedState="0" w:defUIPriority="99"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99"/>
    <w:qFormat/>
    <w:pPr>
      <w:widowControl w:val="0"/>
      <w:autoSpaceDE w:val="0"/>
      <w:autoSpaceDN w:val="0"/>
      <w:adjustRightInd w:val="0"/>
      <w:spacing w:after="0" w:line="240" w:lineRule="auto"/>
    </w:pPr>
    <w:rPr>
      <w:rFonts w:ascii="Times New Roman" w:hAnsi="Times New Roman" w:cs="Times New Roman"/>
      <w:kern w:val="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 1"/>
    <w:uiPriority w:val="99"/>
    <w:pPr>
      <w:widowControl w:val="0"/>
      <w:autoSpaceDE w:val="0"/>
      <w:autoSpaceDN w:val="0"/>
      <w:adjustRightInd w:val="0"/>
      <w:spacing w:after="0" w:line="240" w:lineRule="auto"/>
    </w:pPr>
    <w:rPr>
      <w:rFonts w:ascii="Times New Roman" w:hAnsi="Times New Roman" w:cs="Times New Roman"/>
      <w:kern w:val="0"/>
      <w:sz w:val="20"/>
      <w:szCs w:val="20"/>
    </w:rPr>
  </w:style>
  <w:style w:type="paragraph" w:customStyle="1" w:styleId="Style2">
    <w:name w:val="Style 2"/>
    <w:uiPriority w:val="99"/>
    <w:pPr>
      <w:widowControl w:val="0"/>
      <w:autoSpaceDE w:val="0"/>
      <w:autoSpaceDN w:val="0"/>
      <w:spacing w:before="216" w:after="0" w:line="283" w:lineRule="auto"/>
    </w:pPr>
    <w:rPr>
      <w:rFonts w:ascii="Bookman Old Style" w:hAnsi="Bookman Old Style" w:cs="Bookman Old Style"/>
      <w:kern w:val="0"/>
      <w:sz w:val="18"/>
      <w:szCs w:val="18"/>
    </w:rPr>
  </w:style>
  <w:style w:type="paragraph" w:customStyle="1" w:styleId="Style4">
    <w:name w:val="Style 4"/>
    <w:uiPriority w:val="99"/>
    <w:pPr>
      <w:widowControl w:val="0"/>
      <w:autoSpaceDE w:val="0"/>
      <w:autoSpaceDN w:val="0"/>
      <w:spacing w:after="0" w:line="285" w:lineRule="auto"/>
      <w:ind w:firstLine="288"/>
      <w:jc w:val="both"/>
    </w:pPr>
    <w:rPr>
      <w:rFonts w:ascii="Bookman Old Style" w:hAnsi="Bookman Old Style" w:cs="Bookman Old Style"/>
      <w:kern w:val="0"/>
      <w:sz w:val="18"/>
      <w:szCs w:val="18"/>
    </w:rPr>
  </w:style>
  <w:style w:type="paragraph" w:customStyle="1" w:styleId="Style3">
    <w:name w:val="Style 3"/>
    <w:uiPriority w:val="99"/>
    <w:pPr>
      <w:widowControl w:val="0"/>
      <w:autoSpaceDE w:val="0"/>
      <w:autoSpaceDN w:val="0"/>
      <w:spacing w:after="0" w:line="283" w:lineRule="auto"/>
      <w:ind w:left="288" w:hanging="288"/>
      <w:jc w:val="both"/>
    </w:pPr>
    <w:rPr>
      <w:rFonts w:ascii="Bookman Old Style" w:hAnsi="Bookman Old Style" w:cs="Bookman Old Style"/>
      <w:kern w:val="0"/>
      <w:sz w:val="18"/>
      <w:szCs w:val="18"/>
    </w:rPr>
  </w:style>
  <w:style w:type="paragraph" w:customStyle="1" w:styleId="Style5">
    <w:name w:val="Style 5"/>
    <w:uiPriority w:val="99"/>
    <w:pPr>
      <w:widowControl w:val="0"/>
      <w:autoSpaceDE w:val="0"/>
      <w:autoSpaceDN w:val="0"/>
      <w:spacing w:after="0" w:line="240" w:lineRule="auto"/>
      <w:ind w:left="36"/>
    </w:pPr>
    <w:rPr>
      <w:rFonts w:ascii="Bookman Old Style" w:hAnsi="Bookman Old Style" w:cs="Bookman Old Style"/>
      <w:kern w:val="0"/>
      <w:sz w:val="18"/>
      <w:szCs w:val="18"/>
    </w:rPr>
  </w:style>
  <w:style w:type="paragraph" w:customStyle="1" w:styleId="Style7">
    <w:name w:val="Style 7"/>
    <w:uiPriority w:val="99"/>
    <w:pPr>
      <w:widowControl w:val="0"/>
      <w:autoSpaceDE w:val="0"/>
      <w:autoSpaceDN w:val="0"/>
      <w:spacing w:after="0" w:line="319" w:lineRule="auto"/>
      <w:ind w:left="144" w:hanging="144"/>
    </w:pPr>
    <w:rPr>
      <w:rFonts w:ascii="Bookman Old Style" w:hAnsi="Bookman Old Style" w:cs="Bookman Old Style"/>
      <w:kern w:val="0"/>
      <w:sz w:val="16"/>
      <w:szCs w:val="16"/>
    </w:rPr>
  </w:style>
  <w:style w:type="character" w:customStyle="1" w:styleId="CharacterStyle1">
    <w:name w:val="Character Style 1"/>
    <w:uiPriority w:val="99"/>
    <w:rPr>
      <w:rFonts w:ascii="Bookman Old Style" w:hAnsi="Bookman Old Style" w:cs="Bookman Old Style"/>
      <w:sz w:val="18"/>
      <w:szCs w:val="18"/>
    </w:rPr>
  </w:style>
  <w:style w:type="character" w:customStyle="1" w:styleId="CharacterStyle2">
    <w:name w:val="Character Style 2"/>
    <w:uiPriority w:val="99"/>
    <w:rPr>
      <w:rFonts w:ascii="Bookman Old Style" w:hAnsi="Bookman Old Style" w:cs="Bookman Old Style"/>
      <w:sz w:val="16"/>
      <w:szCs w:val="16"/>
    </w:rPr>
  </w:style>
  <w:style w:type="paragraph" w:styleId="Header">
    <w:name w:val="header"/>
    <w:basedOn w:val="Normal"/>
    <w:link w:val="HeaderChar"/>
    <w:uiPriority w:val="99"/>
    <w:unhideWhenUsed/>
    <w:rsid w:val="00406E35"/>
    <w:pPr>
      <w:tabs>
        <w:tab w:val="center" w:pos="4680"/>
        <w:tab w:val="right" w:pos="9360"/>
      </w:tabs>
    </w:pPr>
  </w:style>
  <w:style w:type="character" w:customStyle="1" w:styleId="HeaderChar">
    <w:name w:val="Header Char"/>
    <w:basedOn w:val="DefaultParagraphFont"/>
    <w:link w:val="Header"/>
    <w:uiPriority w:val="99"/>
    <w:rsid w:val="00406E35"/>
    <w:rPr>
      <w:rFonts w:ascii="Times New Roman" w:hAnsi="Times New Roman" w:cs="Times New Roman"/>
      <w:kern w:val="0"/>
      <w:sz w:val="20"/>
      <w:szCs w:val="20"/>
    </w:rPr>
  </w:style>
  <w:style w:type="paragraph" w:styleId="Footer">
    <w:name w:val="footer"/>
    <w:basedOn w:val="Normal"/>
    <w:link w:val="FooterChar"/>
    <w:uiPriority w:val="99"/>
    <w:unhideWhenUsed/>
    <w:rsid w:val="00406E35"/>
    <w:pPr>
      <w:tabs>
        <w:tab w:val="center" w:pos="4680"/>
        <w:tab w:val="right" w:pos="9360"/>
      </w:tabs>
    </w:pPr>
  </w:style>
  <w:style w:type="character" w:customStyle="1" w:styleId="FooterChar">
    <w:name w:val="Footer Char"/>
    <w:basedOn w:val="DefaultParagraphFont"/>
    <w:link w:val="Footer"/>
    <w:uiPriority w:val="99"/>
    <w:rsid w:val="00406E35"/>
    <w:rPr>
      <w:rFonts w:ascii="Times New Roman" w:hAnsi="Times New Roman" w:cs="Times New Roman"/>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D7CF77-ADF8-4B2A-A590-92CDA7BC33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256</TotalTime>
  <Pages>12</Pages>
  <Words>5014</Words>
  <Characters>28581</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33528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Jaryono Angga Widagdo</cp:lastModifiedBy>
  <cp:revision>15</cp:revision>
  <dcterms:created xsi:type="dcterms:W3CDTF">2013-06-02T17:04:00Z</dcterms:created>
  <dcterms:modified xsi:type="dcterms:W3CDTF">2019-05-03T17:39:00Z</dcterms:modified>
</cp:coreProperties>
</file>